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B0CA" w14:textId="77777777" w:rsidR="004C23FC" w:rsidRDefault="004C23FC" w:rsidP="00B81454">
      <w:pPr>
        <w:jc w:val="center"/>
        <w:rPr>
          <w:sz w:val="28"/>
          <w:szCs w:val="28"/>
        </w:rPr>
      </w:pPr>
    </w:p>
    <w:p w14:paraId="449F2471" w14:textId="77777777" w:rsidR="004C23FC" w:rsidRDefault="004C23FC" w:rsidP="00B81454">
      <w:pPr>
        <w:jc w:val="center"/>
        <w:rPr>
          <w:sz w:val="28"/>
          <w:szCs w:val="28"/>
        </w:rPr>
      </w:pPr>
    </w:p>
    <w:p w14:paraId="029A30FC" w14:textId="77777777" w:rsidR="008B190B" w:rsidRDefault="008B190B" w:rsidP="00B81454">
      <w:pPr>
        <w:jc w:val="center"/>
        <w:rPr>
          <w:caps/>
          <w:sz w:val="32"/>
          <w:szCs w:val="32"/>
        </w:rPr>
      </w:pPr>
    </w:p>
    <w:p w14:paraId="7055DD0E" w14:textId="77777777" w:rsidR="008B190B" w:rsidRDefault="008B190B" w:rsidP="00B81454">
      <w:pPr>
        <w:jc w:val="center"/>
        <w:rPr>
          <w:caps/>
          <w:sz w:val="32"/>
          <w:szCs w:val="32"/>
        </w:rPr>
      </w:pPr>
    </w:p>
    <w:p w14:paraId="0C0EF699" w14:textId="23D15A20" w:rsidR="00F372D8" w:rsidRPr="001570E9" w:rsidRDefault="009329E2" w:rsidP="00B81454">
      <w:pPr>
        <w:jc w:val="center"/>
        <w:rPr>
          <w:sz w:val="24"/>
          <w:szCs w:val="24"/>
        </w:rPr>
      </w:pPr>
      <w:r>
        <w:rPr>
          <w:caps/>
          <w:sz w:val="32"/>
          <w:szCs w:val="32"/>
        </w:rPr>
        <w:t>event time</w:t>
      </w:r>
    </w:p>
    <w:p w14:paraId="5C5286CC" w14:textId="77777777" w:rsidR="00B96E83" w:rsidRPr="001570E9" w:rsidRDefault="00B96E83" w:rsidP="00B81454">
      <w:pPr>
        <w:jc w:val="center"/>
        <w:rPr>
          <w:sz w:val="24"/>
          <w:szCs w:val="24"/>
        </w:rPr>
      </w:pPr>
    </w:p>
    <w:p w14:paraId="358BA62B" w14:textId="77777777" w:rsidR="00F372D8" w:rsidRPr="001570E9" w:rsidRDefault="00F372D8" w:rsidP="00F372D8">
      <w:pPr>
        <w:spacing w:after="0"/>
        <w:jc w:val="center"/>
        <w:rPr>
          <w:rFonts w:ascii="Calibri" w:eastAsia="Times New Roman" w:hAnsi="Calibri" w:cs="Times New Roman"/>
          <w:sz w:val="24"/>
          <w:szCs w:val="24"/>
        </w:rPr>
      </w:pPr>
    </w:p>
    <w:p w14:paraId="671A036D" w14:textId="77777777" w:rsidR="009329E2" w:rsidRPr="009427DE" w:rsidRDefault="009329E2" w:rsidP="009329E2">
      <w:pPr>
        <w:spacing w:after="0"/>
        <w:jc w:val="center"/>
        <w:rPr>
          <w:rFonts w:ascii="Calibri" w:eastAsia="Calibri" w:hAnsi="Calibri" w:cs="Times New Roman"/>
          <w:color w:val="000000" w:themeColor="text1"/>
          <w:sz w:val="24"/>
          <w:szCs w:val="24"/>
        </w:rPr>
      </w:pPr>
      <w:r>
        <w:rPr>
          <w:rFonts w:ascii="Calibri" w:eastAsia="Calibri" w:hAnsi="Calibri" w:cs="Times New Roman"/>
          <w:color w:val="000000" w:themeColor="text1"/>
          <w:sz w:val="24"/>
          <w:szCs w:val="24"/>
        </w:rPr>
        <w:t>Megan Czasonis</w:t>
      </w:r>
    </w:p>
    <w:p w14:paraId="6C0248E8" w14:textId="77777777" w:rsidR="009329E2" w:rsidRPr="001570E9" w:rsidRDefault="009329E2" w:rsidP="009329E2">
      <w:pPr>
        <w:spacing w:after="0"/>
        <w:jc w:val="center"/>
        <w:rPr>
          <w:rFonts w:ascii="Calibri" w:eastAsia="Calibri" w:hAnsi="Calibri" w:cs="Times New Roman"/>
          <w:color w:val="0000FF"/>
          <w:sz w:val="24"/>
          <w:szCs w:val="24"/>
          <w:u w:val="single"/>
        </w:rPr>
      </w:pPr>
      <w:r>
        <w:rPr>
          <w:rFonts w:ascii="Calibri" w:eastAsia="Calibri" w:hAnsi="Calibri" w:cs="Times New Roman"/>
          <w:color w:val="0000FF"/>
          <w:sz w:val="24"/>
          <w:szCs w:val="24"/>
          <w:u w:val="single"/>
        </w:rPr>
        <w:t>mczasonis@statestreet.com</w:t>
      </w:r>
    </w:p>
    <w:p w14:paraId="46423147" w14:textId="77777777" w:rsidR="009329E2" w:rsidRDefault="009329E2" w:rsidP="00F372D8">
      <w:pPr>
        <w:spacing w:after="0"/>
        <w:jc w:val="center"/>
        <w:rPr>
          <w:rFonts w:ascii="Calibri" w:eastAsia="Times New Roman" w:hAnsi="Calibri" w:cs="Times New Roman"/>
          <w:sz w:val="24"/>
          <w:szCs w:val="24"/>
        </w:rPr>
      </w:pPr>
    </w:p>
    <w:p w14:paraId="49728049" w14:textId="2EB3E418" w:rsidR="00F372D8" w:rsidRPr="001570E9" w:rsidRDefault="00F372D8" w:rsidP="00F372D8">
      <w:pPr>
        <w:spacing w:after="0"/>
        <w:jc w:val="center"/>
        <w:rPr>
          <w:rFonts w:ascii="Calibri" w:eastAsia="Times New Roman" w:hAnsi="Calibri" w:cs="Times New Roman"/>
          <w:sz w:val="24"/>
          <w:szCs w:val="24"/>
        </w:rPr>
      </w:pPr>
      <w:r w:rsidRPr="001570E9">
        <w:rPr>
          <w:rFonts w:ascii="Calibri" w:eastAsia="Times New Roman" w:hAnsi="Calibri" w:cs="Times New Roman"/>
          <w:sz w:val="24"/>
          <w:szCs w:val="24"/>
        </w:rPr>
        <w:t>Mark Kritzman</w:t>
      </w:r>
    </w:p>
    <w:p w14:paraId="48B040FE" w14:textId="268615C5" w:rsidR="00F372D8" w:rsidRDefault="00F417F3" w:rsidP="00F372D8">
      <w:pPr>
        <w:spacing w:after="0"/>
        <w:jc w:val="center"/>
        <w:rPr>
          <w:rFonts w:ascii="Calibri" w:eastAsia="Calibri" w:hAnsi="Calibri" w:cs="Times New Roman"/>
          <w:color w:val="0000FF"/>
          <w:sz w:val="24"/>
          <w:szCs w:val="24"/>
          <w:u w:val="single"/>
        </w:rPr>
      </w:pPr>
      <w:hyperlink r:id="rId11" w:history="1">
        <w:r w:rsidR="00F372D8" w:rsidRPr="001570E9">
          <w:rPr>
            <w:rFonts w:ascii="Calibri" w:eastAsia="Calibri" w:hAnsi="Calibri" w:cs="Times New Roman"/>
            <w:color w:val="0000FF"/>
            <w:sz w:val="24"/>
            <w:szCs w:val="24"/>
            <w:u w:val="single"/>
          </w:rPr>
          <w:t>kritzman@mit.edu</w:t>
        </w:r>
      </w:hyperlink>
    </w:p>
    <w:p w14:paraId="00FDEF2D" w14:textId="28CD4533" w:rsidR="009427DE" w:rsidRDefault="009427DE" w:rsidP="00F372D8">
      <w:pPr>
        <w:spacing w:after="0"/>
        <w:jc w:val="center"/>
        <w:rPr>
          <w:rFonts w:ascii="Calibri" w:eastAsia="Calibri" w:hAnsi="Calibri" w:cs="Times New Roman"/>
          <w:color w:val="0000FF"/>
          <w:sz w:val="24"/>
          <w:szCs w:val="24"/>
          <w:u w:val="single"/>
        </w:rPr>
      </w:pPr>
    </w:p>
    <w:p w14:paraId="7D6726C6" w14:textId="77777777" w:rsidR="00F372D8" w:rsidRPr="001570E9" w:rsidRDefault="00F372D8" w:rsidP="00F372D8">
      <w:pPr>
        <w:spacing w:after="0"/>
        <w:jc w:val="center"/>
        <w:rPr>
          <w:rFonts w:ascii="Calibri" w:eastAsia="Times New Roman" w:hAnsi="Calibri" w:cs="Times New Roman"/>
          <w:sz w:val="24"/>
          <w:szCs w:val="24"/>
        </w:rPr>
      </w:pPr>
      <w:r w:rsidRPr="001570E9">
        <w:rPr>
          <w:rFonts w:ascii="Calibri" w:eastAsia="Times New Roman" w:hAnsi="Calibri" w:cs="Times New Roman"/>
          <w:sz w:val="24"/>
          <w:szCs w:val="24"/>
        </w:rPr>
        <w:t>David Turkington</w:t>
      </w:r>
    </w:p>
    <w:p w14:paraId="7947660C" w14:textId="77777777" w:rsidR="00F372D8" w:rsidRPr="001570E9" w:rsidRDefault="00F417F3" w:rsidP="00F372D8">
      <w:pPr>
        <w:spacing w:after="0"/>
        <w:jc w:val="center"/>
        <w:rPr>
          <w:rFonts w:ascii="Calibri" w:eastAsia="Calibri" w:hAnsi="Calibri" w:cs="Times New Roman"/>
          <w:color w:val="0000FF"/>
          <w:sz w:val="24"/>
          <w:szCs w:val="24"/>
          <w:u w:val="single"/>
        </w:rPr>
      </w:pPr>
      <w:hyperlink r:id="rId12" w:history="1">
        <w:r w:rsidR="00F372D8" w:rsidRPr="001570E9">
          <w:rPr>
            <w:rFonts w:ascii="Calibri" w:eastAsia="Calibri" w:hAnsi="Calibri" w:cs="Times New Roman"/>
            <w:color w:val="0000FF"/>
            <w:sz w:val="24"/>
            <w:szCs w:val="24"/>
            <w:u w:val="single"/>
          </w:rPr>
          <w:t>dturkington@statestreet.com</w:t>
        </w:r>
      </w:hyperlink>
    </w:p>
    <w:p w14:paraId="4322DEC2" w14:textId="77777777" w:rsidR="00F372D8" w:rsidRPr="001570E9" w:rsidRDefault="00F372D8" w:rsidP="00F372D8">
      <w:pPr>
        <w:spacing w:after="0"/>
        <w:jc w:val="center"/>
        <w:rPr>
          <w:rFonts w:ascii="Calibri" w:eastAsia="Calibri" w:hAnsi="Calibri" w:cs="Times New Roman"/>
          <w:color w:val="0000FF"/>
          <w:sz w:val="24"/>
          <w:szCs w:val="24"/>
          <w:u w:val="single"/>
        </w:rPr>
      </w:pPr>
    </w:p>
    <w:p w14:paraId="2BC890D2" w14:textId="77777777" w:rsidR="00F372D8" w:rsidRPr="001570E9" w:rsidRDefault="00F372D8" w:rsidP="00F372D8">
      <w:pPr>
        <w:spacing w:after="100" w:afterAutospacing="1" w:line="240" w:lineRule="auto"/>
        <w:jc w:val="center"/>
        <w:rPr>
          <w:rFonts w:ascii="Calibri" w:eastAsia="Calibri" w:hAnsi="Calibri" w:cs="Times New Roman"/>
          <w:sz w:val="24"/>
          <w:szCs w:val="24"/>
        </w:rPr>
      </w:pPr>
    </w:p>
    <w:p w14:paraId="486881AF" w14:textId="494A81D9" w:rsidR="00F372D8" w:rsidRPr="001570E9" w:rsidRDefault="00F372D8" w:rsidP="00F372D8">
      <w:pPr>
        <w:spacing w:after="100" w:afterAutospacing="1" w:line="240" w:lineRule="auto"/>
        <w:jc w:val="center"/>
        <w:rPr>
          <w:rFonts w:ascii="Calibri" w:eastAsia="Calibri" w:hAnsi="Calibri" w:cs="Times New Roman"/>
          <w:caps/>
          <w:sz w:val="24"/>
          <w:szCs w:val="24"/>
        </w:rPr>
      </w:pPr>
      <w:r w:rsidRPr="001570E9">
        <w:rPr>
          <w:rFonts w:ascii="Calibri" w:eastAsia="Calibri" w:hAnsi="Calibri" w:cs="Times New Roman"/>
          <w:caps/>
          <w:sz w:val="24"/>
          <w:szCs w:val="24"/>
        </w:rPr>
        <w:t xml:space="preserve">THIS VERSION: </w:t>
      </w:r>
      <w:r w:rsidR="00BC69A9">
        <w:rPr>
          <w:rFonts w:ascii="Calibri" w:eastAsia="Calibri" w:hAnsi="Calibri" w:cs="Times New Roman"/>
          <w:caps/>
          <w:sz w:val="24"/>
          <w:szCs w:val="24"/>
        </w:rPr>
        <w:t xml:space="preserve">may </w:t>
      </w:r>
      <w:r w:rsidR="00103555">
        <w:rPr>
          <w:rFonts w:ascii="Calibri" w:eastAsia="Calibri" w:hAnsi="Calibri" w:cs="Times New Roman"/>
          <w:caps/>
          <w:sz w:val="24"/>
          <w:szCs w:val="24"/>
        </w:rPr>
        <w:t>4</w:t>
      </w:r>
      <w:r w:rsidR="009427DE">
        <w:rPr>
          <w:rFonts w:ascii="Calibri" w:eastAsia="Calibri" w:hAnsi="Calibri" w:cs="Times New Roman"/>
          <w:caps/>
          <w:sz w:val="24"/>
          <w:szCs w:val="24"/>
        </w:rPr>
        <w:t>, 202</w:t>
      </w:r>
      <w:r w:rsidR="007E7746">
        <w:rPr>
          <w:rFonts w:ascii="Calibri" w:eastAsia="Calibri" w:hAnsi="Calibri" w:cs="Times New Roman"/>
          <w:caps/>
          <w:sz w:val="24"/>
          <w:szCs w:val="24"/>
        </w:rPr>
        <w:t>2</w:t>
      </w:r>
    </w:p>
    <w:p w14:paraId="6C43F5A8" w14:textId="650A17D9" w:rsidR="00F372D8" w:rsidRPr="001570E9" w:rsidRDefault="00F372D8" w:rsidP="00F372D8">
      <w:pPr>
        <w:spacing w:after="100" w:afterAutospacing="1" w:line="240" w:lineRule="auto"/>
        <w:jc w:val="center"/>
        <w:rPr>
          <w:rFonts w:ascii="Calibri" w:eastAsia="Calibri" w:hAnsi="Calibri" w:cs="Times New Roman"/>
          <w:sz w:val="24"/>
          <w:szCs w:val="24"/>
        </w:rPr>
      </w:pPr>
    </w:p>
    <w:p w14:paraId="4F41D492" w14:textId="77777777" w:rsidR="00B96E83" w:rsidRPr="001570E9" w:rsidRDefault="00B96E83" w:rsidP="00F372D8">
      <w:pPr>
        <w:spacing w:after="100" w:afterAutospacing="1" w:line="240" w:lineRule="auto"/>
        <w:jc w:val="center"/>
        <w:rPr>
          <w:rFonts w:ascii="Calibri" w:eastAsia="Calibri" w:hAnsi="Calibri" w:cs="Times New Roman"/>
          <w:sz w:val="24"/>
          <w:szCs w:val="24"/>
        </w:rPr>
      </w:pPr>
    </w:p>
    <w:p w14:paraId="06341B21" w14:textId="20077427" w:rsidR="00F372D8" w:rsidRPr="001570E9" w:rsidRDefault="00F372D8" w:rsidP="00F372D8">
      <w:pPr>
        <w:spacing w:after="100" w:afterAutospacing="1" w:line="240" w:lineRule="auto"/>
        <w:jc w:val="center"/>
        <w:rPr>
          <w:rFonts w:ascii="Calibri" w:eastAsia="Calibri" w:hAnsi="Calibri" w:cs="Times New Roman"/>
          <w:sz w:val="24"/>
          <w:szCs w:val="24"/>
        </w:rPr>
      </w:pPr>
      <w:r w:rsidRPr="001570E9">
        <w:rPr>
          <w:rFonts w:ascii="Calibri" w:eastAsia="Calibri" w:hAnsi="Calibri" w:cs="Times New Roman"/>
          <w:sz w:val="24"/>
          <w:szCs w:val="24"/>
        </w:rPr>
        <w:t>Abstract</w:t>
      </w:r>
    </w:p>
    <w:p w14:paraId="6A469E49" w14:textId="77777777" w:rsidR="00515A1C" w:rsidRPr="001570E9" w:rsidRDefault="00515A1C" w:rsidP="00DB4C7D">
      <w:pPr>
        <w:spacing w:line="240" w:lineRule="auto"/>
        <w:jc w:val="center"/>
        <w:rPr>
          <w:sz w:val="28"/>
          <w:szCs w:val="28"/>
        </w:rPr>
        <w:sectPr w:rsidR="00515A1C" w:rsidRPr="001570E9" w:rsidSect="00523F0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p>
    <w:p w14:paraId="32F2DD84" w14:textId="6F57686D" w:rsidR="00615C10" w:rsidRDefault="009329E2" w:rsidP="005A3EA3">
      <w:pPr>
        <w:spacing w:line="240" w:lineRule="auto"/>
        <w:rPr>
          <w:sz w:val="24"/>
          <w:szCs w:val="24"/>
        </w:rPr>
      </w:pPr>
      <w:r>
        <w:rPr>
          <w:sz w:val="24"/>
          <w:szCs w:val="24"/>
        </w:rPr>
        <w:t xml:space="preserve">Investors take for granted that returns are recorded in units of time, such as days, months, or years.  Yet some </w:t>
      </w:r>
      <w:r w:rsidR="00650F5A">
        <w:rPr>
          <w:sz w:val="24"/>
          <w:szCs w:val="24"/>
        </w:rPr>
        <w:t xml:space="preserve">time </w:t>
      </w:r>
      <w:r>
        <w:rPr>
          <w:sz w:val="24"/>
          <w:szCs w:val="24"/>
        </w:rPr>
        <w:t xml:space="preserve">periods include </w:t>
      </w:r>
      <w:r w:rsidR="007232B3">
        <w:rPr>
          <w:sz w:val="24"/>
          <w:szCs w:val="24"/>
        </w:rPr>
        <w:t>unusual</w:t>
      </w:r>
      <w:r w:rsidR="00E01A97">
        <w:rPr>
          <w:sz w:val="24"/>
          <w:szCs w:val="24"/>
        </w:rPr>
        <w:t xml:space="preserve"> </w:t>
      </w:r>
      <w:r>
        <w:rPr>
          <w:sz w:val="24"/>
          <w:szCs w:val="24"/>
        </w:rPr>
        <w:t xml:space="preserve">events that </w:t>
      </w:r>
      <w:r w:rsidR="00E01A97">
        <w:rPr>
          <w:sz w:val="24"/>
          <w:szCs w:val="24"/>
        </w:rPr>
        <w:t xml:space="preserve">reasonably </w:t>
      </w:r>
      <w:r>
        <w:rPr>
          <w:sz w:val="24"/>
          <w:szCs w:val="24"/>
        </w:rPr>
        <w:t xml:space="preserve">cause asset prices to change, whereas other periods are relatively free of </w:t>
      </w:r>
      <w:r w:rsidR="007232B3">
        <w:rPr>
          <w:sz w:val="24"/>
          <w:szCs w:val="24"/>
        </w:rPr>
        <w:t xml:space="preserve">unusual </w:t>
      </w:r>
      <w:r>
        <w:rPr>
          <w:sz w:val="24"/>
          <w:szCs w:val="24"/>
        </w:rPr>
        <w:t>events</w:t>
      </w:r>
      <w:r w:rsidR="007D486C">
        <w:rPr>
          <w:sz w:val="24"/>
          <w:szCs w:val="24"/>
        </w:rPr>
        <w:t>, in which case</w:t>
      </w:r>
      <w:r>
        <w:rPr>
          <w:sz w:val="24"/>
          <w:szCs w:val="24"/>
        </w:rPr>
        <w:t xml:space="preserve"> returns </w:t>
      </w:r>
      <w:r w:rsidR="00BC69A9">
        <w:rPr>
          <w:sz w:val="24"/>
          <w:szCs w:val="24"/>
        </w:rPr>
        <w:t>mostly</w:t>
      </w:r>
      <w:r>
        <w:rPr>
          <w:sz w:val="24"/>
          <w:szCs w:val="24"/>
        </w:rPr>
        <w:t xml:space="preserve"> reflect </w:t>
      </w:r>
      <w:r w:rsidR="00BC69A9">
        <w:rPr>
          <w:sz w:val="24"/>
          <w:szCs w:val="24"/>
        </w:rPr>
        <w:t>noise</w:t>
      </w:r>
      <w:r>
        <w:rPr>
          <w:sz w:val="24"/>
          <w:szCs w:val="24"/>
        </w:rPr>
        <w:t xml:space="preserve">.  </w:t>
      </w:r>
      <w:r w:rsidR="007232B3">
        <w:rPr>
          <w:sz w:val="24"/>
          <w:szCs w:val="24"/>
        </w:rPr>
        <w:t>Based on insights from information theory, t</w:t>
      </w:r>
      <w:r>
        <w:rPr>
          <w:sz w:val="24"/>
          <w:szCs w:val="24"/>
        </w:rPr>
        <w:t>he authors rescale time into event units so that each return is related to</w:t>
      </w:r>
      <w:r w:rsidR="00650F5A">
        <w:rPr>
          <w:sz w:val="24"/>
          <w:szCs w:val="24"/>
        </w:rPr>
        <w:t xml:space="preserve"> a common </w:t>
      </w:r>
      <w:r w:rsidR="007E7746">
        <w:rPr>
          <w:sz w:val="24"/>
          <w:szCs w:val="24"/>
        </w:rPr>
        <w:t>degree</w:t>
      </w:r>
      <w:r w:rsidR="00650F5A">
        <w:rPr>
          <w:sz w:val="24"/>
          <w:szCs w:val="24"/>
        </w:rPr>
        <w:t xml:space="preserve"> </w:t>
      </w:r>
      <w:r w:rsidR="008A7CC7">
        <w:rPr>
          <w:sz w:val="24"/>
          <w:szCs w:val="24"/>
        </w:rPr>
        <w:t xml:space="preserve">of </w:t>
      </w:r>
      <w:r>
        <w:rPr>
          <w:sz w:val="24"/>
          <w:szCs w:val="24"/>
        </w:rPr>
        <w:t>event</w:t>
      </w:r>
      <w:r w:rsidR="007E7746">
        <w:rPr>
          <w:sz w:val="24"/>
          <w:szCs w:val="24"/>
        </w:rPr>
        <w:t xml:space="preserve"> intensity</w:t>
      </w:r>
      <w:r>
        <w:rPr>
          <w:sz w:val="24"/>
          <w:szCs w:val="24"/>
        </w:rPr>
        <w:t xml:space="preserve">.  </w:t>
      </w:r>
      <w:r w:rsidR="007E7746">
        <w:rPr>
          <w:sz w:val="24"/>
          <w:szCs w:val="24"/>
        </w:rPr>
        <w:t>Their analysis reveals that when returns are measured in event units, their distributions are more normal</w:t>
      </w:r>
      <w:r w:rsidR="00521170">
        <w:rPr>
          <w:sz w:val="24"/>
          <w:szCs w:val="24"/>
        </w:rPr>
        <w:t xml:space="preserve"> and their co-occurrences are more stable</w:t>
      </w:r>
      <w:r w:rsidR="007E7746">
        <w:rPr>
          <w:sz w:val="24"/>
          <w:szCs w:val="24"/>
        </w:rPr>
        <w:t xml:space="preserve">, which enables analysts to </w:t>
      </w:r>
      <w:r w:rsidR="00985647">
        <w:rPr>
          <w:sz w:val="24"/>
          <w:szCs w:val="24"/>
        </w:rPr>
        <w:t xml:space="preserve">form more </w:t>
      </w:r>
      <w:r w:rsidR="00444933">
        <w:rPr>
          <w:sz w:val="24"/>
          <w:szCs w:val="24"/>
        </w:rPr>
        <w:t>reliable</w:t>
      </w:r>
      <w:r w:rsidR="00985647">
        <w:rPr>
          <w:sz w:val="24"/>
          <w:szCs w:val="24"/>
        </w:rPr>
        <w:t xml:space="preserve"> inferences</w:t>
      </w:r>
      <w:r w:rsidR="007E7746">
        <w:rPr>
          <w:sz w:val="24"/>
          <w:szCs w:val="24"/>
        </w:rPr>
        <w:t xml:space="preserve">. </w:t>
      </w:r>
    </w:p>
    <w:p w14:paraId="0D0F3F87" w14:textId="1D04CE86" w:rsidR="009329E2" w:rsidRDefault="009329E2" w:rsidP="005A3EA3">
      <w:pPr>
        <w:spacing w:line="240" w:lineRule="auto"/>
        <w:rPr>
          <w:sz w:val="24"/>
          <w:szCs w:val="24"/>
        </w:rPr>
      </w:pPr>
    </w:p>
    <w:p w14:paraId="5C73B229" w14:textId="5D86B3AC" w:rsidR="009329E2" w:rsidRDefault="009329E2" w:rsidP="005A3EA3">
      <w:pPr>
        <w:spacing w:line="240" w:lineRule="auto"/>
        <w:rPr>
          <w:sz w:val="24"/>
          <w:szCs w:val="24"/>
        </w:rPr>
      </w:pPr>
    </w:p>
    <w:p w14:paraId="13A7B317" w14:textId="238E3886" w:rsidR="009329E2" w:rsidRDefault="009329E2" w:rsidP="005A3EA3">
      <w:pPr>
        <w:spacing w:line="240" w:lineRule="auto"/>
        <w:rPr>
          <w:sz w:val="24"/>
          <w:szCs w:val="24"/>
        </w:rPr>
      </w:pPr>
    </w:p>
    <w:p w14:paraId="2559D676" w14:textId="77777777" w:rsidR="007232B3" w:rsidRPr="001570E9" w:rsidRDefault="007232B3" w:rsidP="007232B3">
      <w:pPr>
        <w:jc w:val="center"/>
        <w:rPr>
          <w:sz w:val="24"/>
          <w:szCs w:val="24"/>
        </w:rPr>
      </w:pPr>
      <w:r>
        <w:rPr>
          <w:caps/>
          <w:sz w:val="32"/>
          <w:szCs w:val="32"/>
        </w:rPr>
        <w:lastRenderedPageBreak/>
        <w:t>event time</w:t>
      </w:r>
    </w:p>
    <w:p w14:paraId="7D348CC2" w14:textId="3AB4D430" w:rsidR="006E47B9" w:rsidRDefault="006E47B9" w:rsidP="009A0621">
      <w:pPr>
        <w:spacing w:line="480" w:lineRule="auto"/>
        <w:rPr>
          <w:b/>
          <w:bCs/>
          <w:sz w:val="24"/>
          <w:szCs w:val="24"/>
        </w:rPr>
      </w:pPr>
    </w:p>
    <w:p w14:paraId="3CE65D6A" w14:textId="4A68A9C7" w:rsidR="00C270DE" w:rsidRDefault="005B6DA2" w:rsidP="009A0621">
      <w:pPr>
        <w:spacing w:line="480" w:lineRule="auto"/>
        <w:rPr>
          <w:sz w:val="24"/>
          <w:szCs w:val="24"/>
        </w:rPr>
      </w:pPr>
      <w:r w:rsidRPr="005B6DA2">
        <w:rPr>
          <w:sz w:val="24"/>
          <w:szCs w:val="24"/>
        </w:rPr>
        <w:t>We measure time as a function of ho</w:t>
      </w:r>
      <w:r>
        <w:rPr>
          <w:sz w:val="24"/>
          <w:szCs w:val="24"/>
        </w:rPr>
        <w:t>w</w:t>
      </w:r>
      <w:r w:rsidRPr="005B6DA2">
        <w:rPr>
          <w:sz w:val="24"/>
          <w:szCs w:val="24"/>
        </w:rPr>
        <w:t xml:space="preserve"> long it takes the earth to rotate on its axis</w:t>
      </w:r>
      <w:r>
        <w:rPr>
          <w:sz w:val="24"/>
          <w:szCs w:val="24"/>
        </w:rPr>
        <w:t xml:space="preserve"> </w:t>
      </w:r>
      <w:r w:rsidR="00D36342">
        <w:rPr>
          <w:sz w:val="24"/>
          <w:szCs w:val="24"/>
        </w:rPr>
        <w:t>and</w:t>
      </w:r>
      <w:r>
        <w:rPr>
          <w:sz w:val="24"/>
          <w:szCs w:val="24"/>
        </w:rPr>
        <w:t xml:space="preserve"> to travel around the sun.  </w:t>
      </w:r>
      <w:r w:rsidR="00D36342">
        <w:rPr>
          <w:sz w:val="24"/>
          <w:szCs w:val="24"/>
        </w:rPr>
        <w:t xml:space="preserve">Then we use this system of measurement to record outcomes, which in some cases makes sense and in </w:t>
      </w:r>
      <w:r w:rsidR="00D65464">
        <w:rPr>
          <w:sz w:val="24"/>
          <w:szCs w:val="24"/>
        </w:rPr>
        <w:t>others</w:t>
      </w:r>
      <w:r w:rsidR="00D36342">
        <w:rPr>
          <w:sz w:val="24"/>
          <w:szCs w:val="24"/>
        </w:rPr>
        <w:t xml:space="preserve"> does not.  </w:t>
      </w:r>
      <w:r w:rsidR="00FB6E0C">
        <w:rPr>
          <w:sz w:val="24"/>
          <w:szCs w:val="24"/>
        </w:rPr>
        <w:t>It</w:t>
      </w:r>
      <w:r w:rsidR="00D36342">
        <w:rPr>
          <w:sz w:val="24"/>
          <w:szCs w:val="24"/>
        </w:rPr>
        <w:t xml:space="preserve"> </w:t>
      </w:r>
      <w:r w:rsidR="00FB6E0C">
        <w:rPr>
          <w:sz w:val="24"/>
          <w:szCs w:val="24"/>
        </w:rPr>
        <w:t>seems</w:t>
      </w:r>
      <w:r w:rsidR="00D36342">
        <w:rPr>
          <w:sz w:val="24"/>
          <w:szCs w:val="24"/>
        </w:rPr>
        <w:t xml:space="preserve"> reasonable</w:t>
      </w:r>
      <w:r w:rsidR="00FB6E0C">
        <w:rPr>
          <w:sz w:val="24"/>
          <w:szCs w:val="24"/>
        </w:rPr>
        <w:t>, for example,</w:t>
      </w:r>
      <w:r w:rsidR="00D36342">
        <w:rPr>
          <w:sz w:val="24"/>
          <w:szCs w:val="24"/>
        </w:rPr>
        <w:t xml:space="preserve"> to measure speed in units of time</w:t>
      </w:r>
      <w:r w:rsidR="00FB6E0C">
        <w:rPr>
          <w:sz w:val="24"/>
          <w:szCs w:val="24"/>
        </w:rPr>
        <w:t>, such as how many seconds it takes a sprinter to run 100 meters</w:t>
      </w:r>
      <w:r w:rsidR="00D36342">
        <w:rPr>
          <w:sz w:val="24"/>
          <w:szCs w:val="24"/>
        </w:rPr>
        <w:t>.</w:t>
      </w:r>
      <w:r w:rsidR="00FB6E0C">
        <w:rPr>
          <w:sz w:val="24"/>
          <w:szCs w:val="24"/>
        </w:rPr>
        <w:t xml:space="preserve">  But does it make sense to measure how many points an NBA basketball player scores in a week?  Not necessarily.  If the week is in August, when no games are played, it makes no sense.  And even if the week is in February, we would still want to </w:t>
      </w:r>
      <w:r w:rsidR="00985647">
        <w:rPr>
          <w:sz w:val="24"/>
          <w:szCs w:val="24"/>
        </w:rPr>
        <w:t>standardize</w:t>
      </w:r>
      <w:r w:rsidR="00FB6E0C">
        <w:rPr>
          <w:sz w:val="24"/>
          <w:szCs w:val="24"/>
        </w:rPr>
        <w:t xml:space="preserve"> our measurement to account for the number of games </w:t>
      </w:r>
      <w:r w:rsidR="00770F9F">
        <w:rPr>
          <w:sz w:val="24"/>
          <w:szCs w:val="24"/>
        </w:rPr>
        <w:t xml:space="preserve">the player participated </w:t>
      </w:r>
      <w:r w:rsidR="00FB6E0C">
        <w:rPr>
          <w:sz w:val="24"/>
          <w:szCs w:val="24"/>
        </w:rPr>
        <w:t xml:space="preserve">in that week.  </w:t>
      </w:r>
      <w:r w:rsidR="00C270DE">
        <w:rPr>
          <w:sz w:val="24"/>
          <w:szCs w:val="24"/>
        </w:rPr>
        <w:t>It therefore makes sense to substitute events for time when recording certain outcomes.</w:t>
      </w:r>
    </w:p>
    <w:p w14:paraId="463D1BDD" w14:textId="6E3CF5CF" w:rsidR="008A7CC7" w:rsidRDefault="00C270DE" w:rsidP="009A0621">
      <w:pPr>
        <w:spacing w:line="480" w:lineRule="auto"/>
        <w:rPr>
          <w:sz w:val="24"/>
          <w:szCs w:val="24"/>
        </w:rPr>
      </w:pPr>
      <w:r>
        <w:rPr>
          <w:sz w:val="24"/>
          <w:szCs w:val="24"/>
        </w:rPr>
        <w:tab/>
        <w:t xml:space="preserve">This consideration </w:t>
      </w:r>
      <w:r w:rsidR="005632FA">
        <w:rPr>
          <w:sz w:val="24"/>
          <w:szCs w:val="24"/>
        </w:rPr>
        <w:t>invites</w:t>
      </w:r>
      <w:r>
        <w:rPr>
          <w:sz w:val="24"/>
          <w:szCs w:val="24"/>
        </w:rPr>
        <w:t xml:space="preserve"> the question</w:t>
      </w:r>
      <w:r w:rsidR="00D65464">
        <w:rPr>
          <w:sz w:val="24"/>
          <w:szCs w:val="24"/>
        </w:rPr>
        <w:t xml:space="preserve"> of how we should record asset returns. </w:t>
      </w:r>
      <w:r w:rsidR="00E90563">
        <w:rPr>
          <w:sz w:val="24"/>
          <w:szCs w:val="24"/>
        </w:rPr>
        <w:t xml:space="preserve"> </w:t>
      </w:r>
      <w:r w:rsidR="00D65464">
        <w:rPr>
          <w:sz w:val="24"/>
          <w:szCs w:val="24"/>
        </w:rPr>
        <w:t xml:space="preserve">What is the significance of the circumnavigation of the earth around the sun to an investment strategy?  Why then do we focus so much on returns that are recorded in multiples </w:t>
      </w:r>
      <w:r w:rsidR="000D2078">
        <w:rPr>
          <w:sz w:val="24"/>
          <w:szCs w:val="24"/>
        </w:rPr>
        <w:t xml:space="preserve">or fractions </w:t>
      </w:r>
      <w:r w:rsidR="00D65464">
        <w:rPr>
          <w:sz w:val="24"/>
          <w:szCs w:val="24"/>
        </w:rPr>
        <w:t xml:space="preserve">of years? Implicitly, we assume that common units of time include the same frequency </w:t>
      </w:r>
      <w:r w:rsidR="00770F9F">
        <w:rPr>
          <w:sz w:val="24"/>
          <w:szCs w:val="24"/>
        </w:rPr>
        <w:t xml:space="preserve">and intensity </w:t>
      </w:r>
      <w:r w:rsidR="00D65464">
        <w:rPr>
          <w:sz w:val="24"/>
          <w:szCs w:val="24"/>
        </w:rPr>
        <w:t xml:space="preserve">of relevant events.  This assumption might </w:t>
      </w:r>
      <w:r w:rsidR="00BC69A9">
        <w:rPr>
          <w:sz w:val="24"/>
          <w:szCs w:val="24"/>
        </w:rPr>
        <w:t>make sense</w:t>
      </w:r>
      <w:r w:rsidR="00D65464">
        <w:rPr>
          <w:sz w:val="24"/>
          <w:szCs w:val="24"/>
        </w:rPr>
        <w:t xml:space="preserve"> for multi-year periods owing to the law of large numbers, but</w:t>
      </w:r>
      <w:r w:rsidR="00770F9F">
        <w:rPr>
          <w:sz w:val="24"/>
          <w:szCs w:val="24"/>
        </w:rPr>
        <w:t xml:space="preserve"> it is less likely to hold for shorter periods such as days, months, or quarters. We propose that it might be more insightful to record asset returns in units of </w:t>
      </w:r>
      <w:r w:rsidR="00985647">
        <w:rPr>
          <w:sz w:val="24"/>
          <w:szCs w:val="24"/>
        </w:rPr>
        <w:t>event intensity</w:t>
      </w:r>
      <w:r w:rsidR="00770F9F">
        <w:rPr>
          <w:sz w:val="24"/>
          <w:szCs w:val="24"/>
        </w:rPr>
        <w:t xml:space="preserve"> in which </w:t>
      </w:r>
      <w:r w:rsidR="00726E97">
        <w:rPr>
          <w:sz w:val="24"/>
          <w:szCs w:val="24"/>
        </w:rPr>
        <w:t>event intensity</w:t>
      </w:r>
      <w:r w:rsidR="00770F9F">
        <w:rPr>
          <w:sz w:val="24"/>
          <w:szCs w:val="24"/>
        </w:rPr>
        <w:t xml:space="preserve"> refers to a common degree of the frequency and </w:t>
      </w:r>
      <w:r w:rsidR="00985647">
        <w:rPr>
          <w:sz w:val="24"/>
          <w:szCs w:val="24"/>
        </w:rPr>
        <w:t>significance</w:t>
      </w:r>
      <w:r w:rsidR="00770F9F">
        <w:rPr>
          <w:sz w:val="24"/>
          <w:szCs w:val="24"/>
        </w:rPr>
        <w:t xml:space="preserve"> of relevant events.</w:t>
      </w:r>
      <w:r w:rsidR="00D65464">
        <w:rPr>
          <w:sz w:val="24"/>
          <w:szCs w:val="24"/>
        </w:rPr>
        <w:t xml:space="preserve"> </w:t>
      </w:r>
    </w:p>
    <w:p w14:paraId="2EDF17CC" w14:textId="2C461FD2" w:rsidR="00D5315B" w:rsidRPr="002D7C82" w:rsidRDefault="00DA219E" w:rsidP="009A0621">
      <w:pPr>
        <w:spacing w:line="480" w:lineRule="auto"/>
        <w:rPr>
          <w:b/>
          <w:bCs/>
          <w:sz w:val="24"/>
          <w:szCs w:val="24"/>
        </w:rPr>
      </w:pPr>
      <w:r>
        <w:rPr>
          <w:sz w:val="24"/>
          <w:szCs w:val="24"/>
        </w:rPr>
        <w:lastRenderedPageBreak/>
        <w:tab/>
        <w:t xml:space="preserve">We proceed as follows.  We </w:t>
      </w:r>
      <w:r w:rsidR="00AC2635">
        <w:rPr>
          <w:sz w:val="24"/>
          <w:szCs w:val="24"/>
        </w:rPr>
        <w:t xml:space="preserve">first </w:t>
      </w:r>
      <w:r>
        <w:rPr>
          <w:sz w:val="24"/>
          <w:szCs w:val="24"/>
        </w:rPr>
        <w:t xml:space="preserve">review </w:t>
      </w:r>
      <w:r w:rsidR="00AC2635">
        <w:rPr>
          <w:sz w:val="24"/>
          <w:szCs w:val="24"/>
        </w:rPr>
        <w:t>a</w:t>
      </w:r>
      <w:r>
        <w:rPr>
          <w:sz w:val="24"/>
          <w:szCs w:val="24"/>
        </w:rPr>
        <w:t xml:space="preserve"> key insight of Claude Shannon</w:t>
      </w:r>
      <w:r w:rsidR="00AC2635">
        <w:rPr>
          <w:sz w:val="24"/>
          <w:szCs w:val="24"/>
        </w:rPr>
        <w:t xml:space="preserve">, the father of </w:t>
      </w:r>
      <w:r w:rsidR="00AC2635" w:rsidRPr="002D7C82">
        <w:rPr>
          <w:sz w:val="24"/>
          <w:szCs w:val="24"/>
        </w:rPr>
        <w:t>information theory,</w:t>
      </w:r>
      <w:r w:rsidRPr="002D7C82">
        <w:rPr>
          <w:sz w:val="24"/>
          <w:szCs w:val="24"/>
        </w:rPr>
        <w:t xml:space="preserve"> </w:t>
      </w:r>
      <w:r w:rsidR="00AC2635" w:rsidRPr="002D7C82">
        <w:rPr>
          <w:sz w:val="24"/>
          <w:szCs w:val="24"/>
        </w:rPr>
        <w:t>to show how information relates to</w:t>
      </w:r>
      <w:r w:rsidRPr="002D7C82">
        <w:rPr>
          <w:sz w:val="24"/>
          <w:szCs w:val="24"/>
        </w:rPr>
        <w:t xml:space="preserve"> </w:t>
      </w:r>
      <w:r w:rsidR="003C1DD9" w:rsidRPr="002D7C82">
        <w:rPr>
          <w:sz w:val="24"/>
          <w:szCs w:val="24"/>
        </w:rPr>
        <w:t xml:space="preserve">the </w:t>
      </w:r>
      <w:r w:rsidR="00F4777F" w:rsidRPr="002D7C82">
        <w:rPr>
          <w:sz w:val="24"/>
          <w:szCs w:val="24"/>
        </w:rPr>
        <w:t>probability</w:t>
      </w:r>
      <w:r w:rsidR="003C1DD9" w:rsidRPr="002D7C82">
        <w:rPr>
          <w:sz w:val="24"/>
          <w:szCs w:val="24"/>
        </w:rPr>
        <w:t xml:space="preserve"> of </w:t>
      </w:r>
      <w:r w:rsidRPr="002D7C82">
        <w:rPr>
          <w:sz w:val="24"/>
          <w:szCs w:val="24"/>
        </w:rPr>
        <w:t>events.  We then describe how we measure event</w:t>
      </w:r>
      <w:r w:rsidR="00985647" w:rsidRPr="002D7C82">
        <w:rPr>
          <w:sz w:val="24"/>
          <w:szCs w:val="24"/>
        </w:rPr>
        <w:t xml:space="preserve"> intensity</w:t>
      </w:r>
      <w:r w:rsidR="00D33A7A" w:rsidRPr="002D7C82">
        <w:rPr>
          <w:sz w:val="24"/>
          <w:szCs w:val="24"/>
        </w:rPr>
        <w:t xml:space="preserve">. </w:t>
      </w:r>
      <w:r w:rsidR="00036F62">
        <w:rPr>
          <w:sz w:val="24"/>
          <w:szCs w:val="24"/>
        </w:rPr>
        <w:t xml:space="preserve"> </w:t>
      </w:r>
      <w:r w:rsidR="00F40AFC" w:rsidRPr="002D7C82">
        <w:rPr>
          <w:sz w:val="24"/>
          <w:szCs w:val="24"/>
        </w:rPr>
        <w:t xml:space="preserve">Next, we </w:t>
      </w:r>
      <w:r w:rsidR="00B05164" w:rsidRPr="002D7C82">
        <w:rPr>
          <w:sz w:val="24"/>
          <w:szCs w:val="24"/>
        </w:rPr>
        <w:t xml:space="preserve">show how the </w:t>
      </w:r>
      <w:r w:rsidR="00444933" w:rsidRPr="002D7C82">
        <w:rPr>
          <w:sz w:val="24"/>
          <w:szCs w:val="24"/>
        </w:rPr>
        <w:t>conversion</w:t>
      </w:r>
      <w:r w:rsidR="00B05164" w:rsidRPr="002D7C82">
        <w:rPr>
          <w:sz w:val="24"/>
          <w:szCs w:val="24"/>
        </w:rPr>
        <w:t xml:space="preserve"> from </w:t>
      </w:r>
      <w:r w:rsidR="00444933" w:rsidRPr="002D7C82">
        <w:rPr>
          <w:sz w:val="24"/>
          <w:szCs w:val="24"/>
        </w:rPr>
        <w:t xml:space="preserve">calendar </w:t>
      </w:r>
      <w:r w:rsidR="00B05164" w:rsidRPr="002D7C82">
        <w:rPr>
          <w:sz w:val="24"/>
          <w:szCs w:val="24"/>
        </w:rPr>
        <w:t xml:space="preserve">time to event </w:t>
      </w:r>
      <w:r w:rsidR="00444933" w:rsidRPr="002D7C82">
        <w:rPr>
          <w:sz w:val="24"/>
          <w:szCs w:val="24"/>
        </w:rPr>
        <w:t>time</w:t>
      </w:r>
      <w:r w:rsidR="00B05164" w:rsidRPr="002D7C82">
        <w:rPr>
          <w:sz w:val="24"/>
          <w:szCs w:val="24"/>
        </w:rPr>
        <w:t xml:space="preserve"> leads </w:t>
      </w:r>
      <w:r w:rsidR="00521170">
        <w:rPr>
          <w:sz w:val="24"/>
          <w:szCs w:val="24"/>
        </w:rPr>
        <w:t xml:space="preserve">to more normally distributed returns and </w:t>
      </w:r>
      <w:r w:rsidR="00036F62">
        <w:rPr>
          <w:sz w:val="24"/>
          <w:szCs w:val="24"/>
        </w:rPr>
        <w:t xml:space="preserve">more </w:t>
      </w:r>
      <w:r w:rsidR="00521170">
        <w:rPr>
          <w:sz w:val="24"/>
          <w:szCs w:val="24"/>
        </w:rPr>
        <w:t xml:space="preserve">stable co-occurrences. </w:t>
      </w:r>
      <w:r w:rsidR="00036F62">
        <w:rPr>
          <w:sz w:val="24"/>
          <w:szCs w:val="24"/>
        </w:rPr>
        <w:t xml:space="preserve"> </w:t>
      </w:r>
      <w:r w:rsidR="00444933" w:rsidRPr="002D7C82">
        <w:rPr>
          <w:sz w:val="24"/>
          <w:szCs w:val="24"/>
        </w:rPr>
        <w:t>We then</w:t>
      </w:r>
      <w:r w:rsidR="00C40E2D">
        <w:rPr>
          <w:sz w:val="24"/>
          <w:szCs w:val="24"/>
        </w:rPr>
        <w:t xml:space="preserve"> discuss</w:t>
      </w:r>
      <w:r w:rsidR="00444933" w:rsidRPr="002D7C82">
        <w:rPr>
          <w:sz w:val="24"/>
          <w:szCs w:val="24"/>
        </w:rPr>
        <w:t xml:space="preserve"> </w:t>
      </w:r>
      <w:r w:rsidR="00C40E2D">
        <w:rPr>
          <w:sz w:val="24"/>
          <w:szCs w:val="24"/>
        </w:rPr>
        <w:t>the implications of measuring returns in event time rather than calendar time on stress testing</w:t>
      </w:r>
      <w:r w:rsidR="00B13CC9">
        <w:rPr>
          <w:sz w:val="24"/>
          <w:szCs w:val="24"/>
        </w:rPr>
        <w:t xml:space="preserve">, </w:t>
      </w:r>
      <w:r w:rsidR="00C40E2D">
        <w:rPr>
          <w:sz w:val="24"/>
          <w:szCs w:val="24"/>
        </w:rPr>
        <w:t>performance evaluation</w:t>
      </w:r>
      <w:r w:rsidR="00B13CC9">
        <w:rPr>
          <w:sz w:val="24"/>
          <w:szCs w:val="24"/>
        </w:rPr>
        <w:t>, and portfolio construction</w:t>
      </w:r>
      <w:r w:rsidR="00C40E2D">
        <w:rPr>
          <w:sz w:val="24"/>
          <w:szCs w:val="24"/>
        </w:rPr>
        <w:t>.</w:t>
      </w:r>
    </w:p>
    <w:p w14:paraId="0356B478" w14:textId="77777777" w:rsidR="0086717E" w:rsidRDefault="0086717E" w:rsidP="009A0621">
      <w:pPr>
        <w:spacing w:line="480" w:lineRule="auto"/>
        <w:rPr>
          <w:b/>
          <w:bCs/>
          <w:sz w:val="24"/>
          <w:szCs w:val="24"/>
        </w:rPr>
      </w:pPr>
    </w:p>
    <w:p w14:paraId="1A31D2BB" w14:textId="316ED10D" w:rsidR="003C1DD9" w:rsidRPr="002D7C82" w:rsidRDefault="003C1DD9" w:rsidP="009A0621">
      <w:pPr>
        <w:spacing w:line="480" w:lineRule="auto"/>
        <w:rPr>
          <w:b/>
          <w:bCs/>
          <w:sz w:val="24"/>
          <w:szCs w:val="24"/>
        </w:rPr>
      </w:pPr>
      <w:r w:rsidRPr="002D7C82">
        <w:rPr>
          <w:b/>
          <w:bCs/>
          <w:sz w:val="24"/>
          <w:szCs w:val="24"/>
        </w:rPr>
        <w:t>Information and the Probability of Events</w:t>
      </w:r>
    </w:p>
    <w:p w14:paraId="13214F5F" w14:textId="3E08FFAF" w:rsidR="003C1DD9" w:rsidRPr="009151D1" w:rsidRDefault="003C1DD9" w:rsidP="009A0621">
      <w:pPr>
        <w:spacing w:line="480" w:lineRule="auto"/>
        <w:rPr>
          <w:sz w:val="24"/>
          <w:szCs w:val="24"/>
        </w:rPr>
      </w:pPr>
      <w:r w:rsidRPr="002D7C82">
        <w:rPr>
          <w:sz w:val="24"/>
          <w:szCs w:val="24"/>
        </w:rPr>
        <w:t xml:space="preserve">In 1948 </w:t>
      </w:r>
      <w:r w:rsidR="009A0825" w:rsidRPr="002D7C82">
        <w:rPr>
          <w:sz w:val="24"/>
          <w:szCs w:val="24"/>
        </w:rPr>
        <w:t xml:space="preserve">while </w:t>
      </w:r>
      <w:r w:rsidRPr="002D7C82">
        <w:rPr>
          <w:sz w:val="24"/>
          <w:szCs w:val="24"/>
        </w:rPr>
        <w:t xml:space="preserve">working </w:t>
      </w:r>
      <w:r w:rsidR="009A0825" w:rsidRPr="002D7C82">
        <w:rPr>
          <w:sz w:val="24"/>
          <w:szCs w:val="24"/>
        </w:rPr>
        <w:t>in the mathematics department</w:t>
      </w:r>
      <w:r w:rsidRPr="002D7C82">
        <w:rPr>
          <w:sz w:val="24"/>
          <w:szCs w:val="24"/>
        </w:rPr>
        <w:t xml:space="preserve"> at Bell Labs, Claude Shannon published one of the most important scientific papers ever, </w:t>
      </w:r>
      <w:r w:rsidR="00036F62">
        <w:rPr>
          <w:sz w:val="24"/>
          <w:szCs w:val="24"/>
        </w:rPr>
        <w:t>“</w:t>
      </w:r>
      <w:r w:rsidRPr="002D7C82">
        <w:rPr>
          <w:sz w:val="24"/>
          <w:szCs w:val="24"/>
        </w:rPr>
        <w:t>A Mathematical Theory</w:t>
      </w:r>
      <w:r w:rsidRPr="009151D1">
        <w:rPr>
          <w:sz w:val="24"/>
          <w:szCs w:val="24"/>
        </w:rPr>
        <w:t xml:space="preserve"> of Communication,</w:t>
      </w:r>
      <w:r w:rsidR="00036F62">
        <w:rPr>
          <w:sz w:val="24"/>
          <w:szCs w:val="24"/>
        </w:rPr>
        <w:t>”</w:t>
      </w:r>
      <w:r w:rsidRPr="009151D1">
        <w:rPr>
          <w:sz w:val="24"/>
          <w:szCs w:val="24"/>
        </w:rPr>
        <w:t xml:space="preserve"> which is universally acknowledged as the founding of information theory</w:t>
      </w:r>
      <w:r w:rsidR="009A0825" w:rsidRPr="009151D1">
        <w:rPr>
          <w:sz w:val="24"/>
          <w:szCs w:val="24"/>
        </w:rPr>
        <w:t>.</w:t>
      </w:r>
      <w:r w:rsidR="00036F62">
        <w:rPr>
          <w:sz w:val="24"/>
          <w:szCs w:val="24"/>
        </w:rPr>
        <w:t xml:space="preserve"> </w:t>
      </w:r>
      <w:r w:rsidR="009A0825" w:rsidRPr="009151D1">
        <w:rPr>
          <w:sz w:val="24"/>
          <w:szCs w:val="24"/>
        </w:rPr>
        <w:t xml:space="preserve"> Shannon deduced from basic principles that information is inversely related to probability, which is to say that unusual events contain more information than common events.</w:t>
      </w:r>
    </w:p>
    <w:p w14:paraId="2DF42DA4" w14:textId="15ED368F" w:rsidR="009151D1" w:rsidRPr="009151D1" w:rsidRDefault="00087459" w:rsidP="009151D1">
      <w:pPr>
        <w:spacing w:line="480" w:lineRule="auto"/>
        <w:ind w:firstLine="720"/>
        <w:rPr>
          <w:rFonts w:cstheme="minorHAnsi"/>
          <w:sz w:val="24"/>
          <w:szCs w:val="24"/>
        </w:rPr>
      </w:pPr>
      <w:r w:rsidRPr="009151D1">
        <w:rPr>
          <w:sz w:val="24"/>
          <w:szCs w:val="24"/>
        </w:rPr>
        <w:t xml:space="preserve">To </w:t>
      </w:r>
      <w:r w:rsidR="00564DAD">
        <w:rPr>
          <w:sz w:val="24"/>
          <w:szCs w:val="24"/>
        </w:rPr>
        <w:t>explain</w:t>
      </w:r>
      <w:r w:rsidRPr="009151D1">
        <w:rPr>
          <w:sz w:val="24"/>
          <w:szCs w:val="24"/>
        </w:rPr>
        <w:t xml:space="preserve"> Shannon’s insight, we begin by noting that the probability of an event equals the number of ways </w:t>
      </w:r>
      <w:r w:rsidR="00036F62">
        <w:rPr>
          <w:sz w:val="24"/>
          <w:szCs w:val="24"/>
        </w:rPr>
        <w:t>the</w:t>
      </w:r>
      <w:r w:rsidR="00036F62" w:rsidRPr="009151D1">
        <w:rPr>
          <w:sz w:val="24"/>
          <w:szCs w:val="24"/>
        </w:rPr>
        <w:t xml:space="preserve"> </w:t>
      </w:r>
      <w:r w:rsidRPr="009151D1">
        <w:rPr>
          <w:sz w:val="24"/>
          <w:szCs w:val="24"/>
        </w:rPr>
        <w:t>event can occur divided by the total number of possibilities</w:t>
      </w:r>
      <w:r w:rsidR="00036F62">
        <w:rPr>
          <w:sz w:val="24"/>
          <w:szCs w:val="24"/>
        </w:rPr>
        <w:t xml:space="preserve"> for all events</w:t>
      </w:r>
      <w:r w:rsidRPr="009151D1">
        <w:rPr>
          <w:sz w:val="24"/>
          <w:szCs w:val="24"/>
        </w:rPr>
        <w:t xml:space="preserve">.  </w:t>
      </w:r>
      <w:r w:rsidR="009151D1">
        <w:rPr>
          <w:sz w:val="24"/>
          <w:szCs w:val="24"/>
        </w:rPr>
        <w:t xml:space="preserve">Shannon showed that when </w:t>
      </w:r>
      <w:r w:rsidR="00E47795">
        <w:rPr>
          <w:sz w:val="24"/>
          <w:szCs w:val="24"/>
        </w:rPr>
        <w:t xml:space="preserve">the </w:t>
      </w:r>
      <w:r w:rsidR="00036F62">
        <w:rPr>
          <w:sz w:val="24"/>
          <w:szCs w:val="24"/>
        </w:rPr>
        <w:t>probability</w:t>
      </w:r>
      <w:r w:rsidR="00E47795">
        <w:rPr>
          <w:sz w:val="24"/>
          <w:szCs w:val="24"/>
        </w:rPr>
        <w:t xml:space="preserve"> of an event </w:t>
      </w:r>
      <w:r w:rsidR="00BC69A9">
        <w:rPr>
          <w:sz w:val="24"/>
          <w:szCs w:val="24"/>
        </w:rPr>
        <w:t>shrinks,</w:t>
      </w:r>
      <w:r w:rsidR="00E47795">
        <w:rPr>
          <w:sz w:val="24"/>
          <w:szCs w:val="24"/>
        </w:rPr>
        <w:t xml:space="preserve"> </w:t>
      </w:r>
      <w:r w:rsidR="00F80364">
        <w:rPr>
          <w:sz w:val="24"/>
          <w:szCs w:val="24"/>
        </w:rPr>
        <w:t xml:space="preserve">we </w:t>
      </w:r>
      <w:r w:rsidR="00E01A97">
        <w:rPr>
          <w:sz w:val="24"/>
          <w:szCs w:val="24"/>
        </w:rPr>
        <w:t>gain</w:t>
      </w:r>
      <w:r w:rsidR="00F80364">
        <w:rPr>
          <w:sz w:val="24"/>
          <w:szCs w:val="24"/>
        </w:rPr>
        <w:t xml:space="preserve"> </w:t>
      </w:r>
      <w:r w:rsidR="009151D1">
        <w:rPr>
          <w:sz w:val="24"/>
          <w:szCs w:val="24"/>
        </w:rPr>
        <w:t xml:space="preserve">information and when </w:t>
      </w:r>
      <w:r w:rsidR="00E47795">
        <w:rPr>
          <w:sz w:val="24"/>
          <w:szCs w:val="24"/>
        </w:rPr>
        <w:t xml:space="preserve">the </w:t>
      </w:r>
      <w:r w:rsidR="00036F62">
        <w:rPr>
          <w:sz w:val="24"/>
          <w:szCs w:val="24"/>
        </w:rPr>
        <w:t>probability</w:t>
      </w:r>
      <w:r w:rsidR="00E47795">
        <w:rPr>
          <w:sz w:val="24"/>
          <w:szCs w:val="24"/>
        </w:rPr>
        <w:t xml:space="preserve"> </w:t>
      </w:r>
      <w:r w:rsidR="00E67131">
        <w:rPr>
          <w:sz w:val="24"/>
          <w:szCs w:val="24"/>
        </w:rPr>
        <w:t>expands,</w:t>
      </w:r>
      <w:r w:rsidR="00E47795">
        <w:rPr>
          <w:sz w:val="24"/>
          <w:szCs w:val="24"/>
        </w:rPr>
        <w:t xml:space="preserve"> </w:t>
      </w:r>
      <w:r w:rsidR="00F80364">
        <w:rPr>
          <w:sz w:val="24"/>
          <w:szCs w:val="24"/>
        </w:rPr>
        <w:t xml:space="preserve">we </w:t>
      </w:r>
      <w:r w:rsidR="00E01A97">
        <w:rPr>
          <w:sz w:val="24"/>
          <w:szCs w:val="24"/>
        </w:rPr>
        <w:t xml:space="preserve">lose </w:t>
      </w:r>
      <w:r w:rsidR="00F80364">
        <w:rPr>
          <w:sz w:val="24"/>
          <w:szCs w:val="24"/>
        </w:rPr>
        <w:t xml:space="preserve">information. </w:t>
      </w:r>
      <w:r w:rsidR="00036F62">
        <w:rPr>
          <w:sz w:val="24"/>
          <w:szCs w:val="24"/>
        </w:rPr>
        <w:t xml:space="preserve"> </w:t>
      </w:r>
      <w:r w:rsidR="00F80364">
        <w:rPr>
          <w:sz w:val="24"/>
          <w:szCs w:val="24"/>
        </w:rPr>
        <w:t>We therefore know more about events that have only a few ways of occurring than we do about events that have many ways of occurring.</w:t>
      </w:r>
      <w:r w:rsidR="00036F62">
        <w:rPr>
          <w:sz w:val="24"/>
          <w:szCs w:val="24"/>
        </w:rPr>
        <w:t xml:space="preserve"> </w:t>
      </w:r>
      <w:r w:rsidR="00F80364">
        <w:rPr>
          <w:sz w:val="24"/>
          <w:szCs w:val="24"/>
        </w:rPr>
        <w:t xml:space="preserve"> </w:t>
      </w:r>
      <w:r w:rsidR="00330C8E">
        <w:rPr>
          <w:sz w:val="24"/>
          <w:szCs w:val="24"/>
        </w:rPr>
        <w:t xml:space="preserve">This inverse relationship between information and </w:t>
      </w:r>
      <w:r w:rsidR="006216CA">
        <w:rPr>
          <w:sz w:val="24"/>
          <w:szCs w:val="24"/>
        </w:rPr>
        <w:t>possibility</w:t>
      </w:r>
      <w:r w:rsidR="00330C8E">
        <w:rPr>
          <w:sz w:val="24"/>
          <w:szCs w:val="24"/>
        </w:rPr>
        <w:t xml:space="preserve"> sits at the core of Shannon’s information theory.</w:t>
      </w:r>
      <w:r w:rsidR="009151D1" w:rsidRPr="009151D1">
        <w:rPr>
          <w:rFonts w:cstheme="minorHAnsi"/>
          <w:sz w:val="24"/>
          <w:szCs w:val="24"/>
        </w:rPr>
        <w:t xml:space="preserve"> </w:t>
      </w:r>
    </w:p>
    <w:p w14:paraId="68733A63" w14:textId="6ED1DDC7" w:rsidR="001A0EDE" w:rsidRPr="00B05164" w:rsidRDefault="00951284" w:rsidP="00951284">
      <w:pPr>
        <w:autoSpaceDE w:val="0"/>
        <w:autoSpaceDN w:val="0"/>
        <w:adjustRightInd w:val="0"/>
        <w:spacing w:after="0" w:line="480" w:lineRule="auto"/>
        <w:rPr>
          <w:rFonts w:cstheme="minorHAnsi"/>
          <w:sz w:val="24"/>
          <w:szCs w:val="24"/>
          <w:highlight w:val="yellow"/>
        </w:rPr>
      </w:pPr>
      <w:r>
        <w:rPr>
          <w:rFonts w:cstheme="minorHAnsi"/>
          <w:sz w:val="24"/>
          <w:szCs w:val="24"/>
        </w:rPr>
        <w:lastRenderedPageBreak/>
        <w:tab/>
      </w:r>
      <w:r w:rsidR="00330C8E" w:rsidRPr="00951284">
        <w:rPr>
          <w:rFonts w:cstheme="minorHAnsi"/>
          <w:sz w:val="24"/>
          <w:szCs w:val="24"/>
        </w:rPr>
        <w:t xml:space="preserve">Consider, for example, the sum of a random sequence of the numbers 1 through 10. </w:t>
      </w:r>
      <w:r w:rsidR="009151D1" w:rsidRPr="00951284">
        <w:rPr>
          <w:rFonts w:cstheme="minorHAnsi"/>
          <w:sz w:val="24"/>
          <w:szCs w:val="24"/>
        </w:rPr>
        <w:t xml:space="preserve"> </w:t>
      </w:r>
      <w:r w:rsidR="00330C8E" w:rsidRPr="00951284">
        <w:rPr>
          <w:rFonts w:cstheme="minorHAnsi"/>
          <w:sz w:val="24"/>
          <w:szCs w:val="24"/>
        </w:rPr>
        <w:t xml:space="preserve">It would be extremely unusual for the sum to equal 100, because </w:t>
      </w:r>
      <w:r w:rsidR="006216CA" w:rsidRPr="00951284">
        <w:rPr>
          <w:rFonts w:cstheme="minorHAnsi"/>
          <w:sz w:val="24"/>
          <w:szCs w:val="24"/>
        </w:rPr>
        <w:t xml:space="preserve">of </w:t>
      </w:r>
      <w:r w:rsidR="00ED730D" w:rsidRPr="00951284">
        <w:rPr>
          <w:rFonts w:cstheme="minorHAnsi"/>
          <w:sz w:val="24"/>
          <w:szCs w:val="24"/>
        </w:rPr>
        <w:t>the 10</w:t>
      </w:r>
      <w:r w:rsidR="006216CA" w:rsidRPr="00951284">
        <w:rPr>
          <w:rFonts w:cstheme="minorHAnsi"/>
          <w:sz w:val="24"/>
          <w:szCs w:val="24"/>
        </w:rPr>
        <w:t xml:space="preserve"> </w:t>
      </w:r>
      <w:r w:rsidR="00ED730D" w:rsidRPr="00951284">
        <w:rPr>
          <w:rFonts w:cstheme="minorHAnsi"/>
          <w:sz w:val="24"/>
          <w:szCs w:val="24"/>
        </w:rPr>
        <w:t>billion</w:t>
      </w:r>
      <w:r w:rsidR="006216CA" w:rsidRPr="00951284">
        <w:rPr>
          <w:rFonts w:cstheme="minorHAnsi"/>
          <w:sz w:val="24"/>
          <w:szCs w:val="24"/>
        </w:rPr>
        <w:t xml:space="preserve"> possible sequences </w:t>
      </w:r>
      <w:r w:rsidR="00753B2B" w:rsidRPr="00951284">
        <w:rPr>
          <w:rFonts w:cstheme="minorHAnsi"/>
          <w:sz w:val="24"/>
          <w:szCs w:val="24"/>
        </w:rPr>
        <w:t xml:space="preserve">there is only one way for </w:t>
      </w:r>
      <w:r w:rsidR="006216CA" w:rsidRPr="00951284">
        <w:rPr>
          <w:rFonts w:cstheme="minorHAnsi"/>
          <w:sz w:val="24"/>
          <w:szCs w:val="24"/>
        </w:rPr>
        <w:t>the numbers to sum to 100.  Therefore, we know everything there is to know about this sequence if its sum is 100</w:t>
      </w:r>
      <w:r w:rsidR="00753B2B" w:rsidRPr="00951284">
        <w:rPr>
          <w:rFonts w:cstheme="minorHAnsi"/>
          <w:sz w:val="24"/>
          <w:szCs w:val="24"/>
        </w:rPr>
        <w:t xml:space="preserve">. </w:t>
      </w:r>
      <w:r w:rsidR="00A12C31">
        <w:rPr>
          <w:rFonts w:cstheme="minorHAnsi"/>
          <w:sz w:val="24"/>
          <w:szCs w:val="24"/>
        </w:rPr>
        <w:t xml:space="preserve"> </w:t>
      </w:r>
      <w:r w:rsidR="003D1426" w:rsidRPr="00951284">
        <w:rPr>
          <w:rFonts w:cstheme="minorHAnsi"/>
          <w:sz w:val="24"/>
          <w:szCs w:val="24"/>
        </w:rPr>
        <w:t>Now suppose the sum equals 99.  This outcome is also unlikely</w:t>
      </w:r>
      <w:r w:rsidR="00753B2B" w:rsidRPr="00951284">
        <w:rPr>
          <w:rFonts w:cstheme="minorHAnsi"/>
          <w:sz w:val="24"/>
          <w:szCs w:val="24"/>
        </w:rPr>
        <w:t>, but not nearly as unlikely as 100</w:t>
      </w:r>
      <w:r w:rsidR="00D4465D" w:rsidRPr="00951284">
        <w:rPr>
          <w:rFonts w:cstheme="minorHAnsi"/>
          <w:sz w:val="24"/>
          <w:szCs w:val="24"/>
        </w:rPr>
        <w:t xml:space="preserve">.  </w:t>
      </w:r>
      <w:r w:rsidR="00753B2B" w:rsidRPr="00951284">
        <w:rPr>
          <w:rFonts w:cstheme="minorHAnsi"/>
          <w:sz w:val="24"/>
          <w:szCs w:val="24"/>
        </w:rPr>
        <w:t>There are 10 ways the sum could equal</w:t>
      </w:r>
      <w:r w:rsidR="006216CA" w:rsidRPr="00951284">
        <w:rPr>
          <w:rFonts w:cstheme="minorHAnsi"/>
          <w:sz w:val="24"/>
          <w:szCs w:val="24"/>
        </w:rPr>
        <w:t xml:space="preserve"> 99</w:t>
      </w:r>
      <w:r w:rsidR="00753B2B" w:rsidRPr="00951284">
        <w:rPr>
          <w:rFonts w:cstheme="minorHAnsi"/>
          <w:sz w:val="24"/>
          <w:szCs w:val="24"/>
        </w:rPr>
        <w:t xml:space="preserve">. </w:t>
      </w:r>
      <w:r w:rsidR="00A12C31">
        <w:rPr>
          <w:rFonts w:cstheme="minorHAnsi"/>
          <w:sz w:val="24"/>
          <w:szCs w:val="24"/>
        </w:rPr>
        <w:t xml:space="preserve"> </w:t>
      </w:r>
      <w:r w:rsidR="00F4777F" w:rsidRPr="00951284">
        <w:rPr>
          <w:rFonts w:cstheme="minorHAnsi"/>
          <w:sz w:val="24"/>
          <w:szCs w:val="24"/>
        </w:rPr>
        <w:t>We</w:t>
      </w:r>
      <w:r w:rsidR="00D4465D" w:rsidRPr="00951284">
        <w:rPr>
          <w:rFonts w:cstheme="minorHAnsi"/>
          <w:sz w:val="24"/>
          <w:szCs w:val="24"/>
        </w:rPr>
        <w:t xml:space="preserve"> would still know quite a bit about the sequence</w:t>
      </w:r>
      <w:r w:rsidR="00A12C31">
        <w:rPr>
          <w:rFonts w:cstheme="minorHAnsi"/>
          <w:sz w:val="24"/>
          <w:szCs w:val="24"/>
        </w:rPr>
        <w:t>—</w:t>
      </w:r>
      <w:r w:rsidR="00D4465D" w:rsidRPr="00951284">
        <w:rPr>
          <w:rFonts w:cstheme="minorHAnsi"/>
          <w:sz w:val="24"/>
          <w:szCs w:val="24"/>
        </w:rPr>
        <w:t xml:space="preserve">that at least one number in the sequence </w:t>
      </w:r>
      <w:r w:rsidR="006216CA" w:rsidRPr="00951284">
        <w:rPr>
          <w:rFonts w:cstheme="minorHAnsi"/>
          <w:sz w:val="24"/>
          <w:szCs w:val="24"/>
        </w:rPr>
        <w:t>is</w:t>
      </w:r>
      <w:r w:rsidR="00D4465D" w:rsidRPr="00951284">
        <w:rPr>
          <w:rFonts w:cstheme="minorHAnsi"/>
          <w:sz w:val="24"/>
          <w:szCs w:val="24"/>
        </w:rPr>
        <w:t xml:space="preserve"> </w:t>
      </w:r>
      <w:r w:rsidR="00152C0C" w:rsidRPr="00951284">
        <w:rPr>
          <w:rFonts w:cstheme="minorHAnsi"/>
          <w:sz w:val="24"/>
          <w:szCs w:val="24"/>
        </w:rPr>
        <w:t>9</w:t>
      </w:r>
      <w:r w:rsidR="00D4465D" w:rsidRPr="00951284">
        <w:rPr>
          <w:rFonts w:cstheme="minorHAnsi"/>
          <w:sz w:val="24"/>
          <w:szCs w:val="24"/>
        </w:rPr>
        <w:t xml:space="preserve"> and the other</w:t>
      </w:r>
      <w:r w:rsidR="000D2078" w:rsidRPr="00951284">
        <w:rPr>
          <w:rFonts w:cstheme="minorHAnsi"/>
          <w:sz w:val="24"/>
          <w:szCs w:val="24"/>
        </w:rPr>
        <w:t>s</w:t>
      </w:r>
      <w:r w:rsidR="00D4465D" w:rsidRPr="00951284">
        <w:rPr>
          <w:rFonts w:cstheme="minorHAnsi"/>
          <w:sz w:val="24"/>
          <w:szCs w:val="24"/>
        </w:rPr>
        <w:t xml:space="preserve"> </w:t>
      </w:r>
      <w:r w:rsidR="003E5E00" w:rsidRPr="00951284">
        <w:rPr>
          <w:rFonts w:cstheme="minorHAnsi"/>
          <w:sz w:val="24"/>
          <w:szCs w:val="24"/>
        </w:rPr>
        <w:t>are</w:t>
      </w:r>
      <w:r w:rsidR="00D4465D" w:rsidRPr="00951284">
        <w:rPr>
          <w:rFonts w:cstheme="minorHAnsi"/>
          <w:sz w:val="24"/>
          <w:szCs w:val="24"/>
        </w:rPr>
        <w:t xml:space="preserve"> 10.  But </w:t>
      </w:r>
      <w:r w:rsidR="00F4777F" w:rsidRPr="00951284">
        <w:rPr>
          <w:rFonts w:cstheme="minorHAnsi"/>
          <w:sz w:val="24"/>
          <w:szCs w:val="24"/>
        </w:rPr>
        <w:t>we</w:t>
      </w:r>
      <w:r w:rsidR="00D4465D" w:rsidRPr="00951284">
        <w:rPr>
          <w:rFonts w:cstheme="minorHAnsi"/>
          <w:sz w:val="24"/>
          <w:szCs w:val="24"/>
        </w:rPr>
        <w:t xml:space="preserve"> would not know which of the 10 numbers</w:t>
      </w:r>
      <w:r w:rsidR="00DC53BB">
        <w:rPr>
          <w:rFonts w:cstheme="minorHAnsi"/>
          <w:sz w:val="24"/>
          <w:szCs w:val="24"/>
        </w:rPr>
        <w:t xml:space="preserve"> in the sequence</w:t>
      </w:r>
      <w:r w:rsidR="00D4465D" w:rsidRPr="00951284">
        <w:rPr>
          <w:rFonts w:cstheme="minorHAnsi"/>
          <w:sz w:val="24"/>
          <w:szCs w:val="24"/>
        </w:rPr>
        <w:t xml:space="preserve"> </w:t>
      </w:r>
      <w:r w:rsidR="002E0155" w:rsidRPr="00951284">
        <w:rPr>
          <w:rFonts w:cstheme="minorHAnsi"/>
          <w:sz w:val="24"/>
          <w:szCs w:val="24"/>
        </w:rPr>
        <w:t>9 is</w:t>
      </w:r>
      <w:r w:rsidR="00D4465D" w:rsidRPr="00951284">
        <w:rPr>
          <w:rFonts w:cstheme="minorHAnsi"/>
          <w:sz w:val="24"/>
          <w:szCs w:val="24"/>
        </w:rPr>
        <w:t>.</w:t>
      </w:r>
      <w:r w:rsidR="00365603" w:rsidRPr="00951284">
        <w:rPr>
          <w:rFonts w:cstheme="minorHAnsi"/>
          <w:sz w:val="24"/>
          <w:szCs w:val="24"/>
        </w:rPr>
        <w:t xml:space="preserve"> </w:t>
      </w:r>
      <w:r w:rsidR="00A12C31">
        <w:rPr>
          <w:rFonts w:cstheme="minorHAnsi"/>
          <w:sz w:val="24"/>
          <w:szCs w:val="24"/>
        </w:rPr>
        <w:t xml:space="preserve"> </w:t>
      </w:r>
      <w:r w:rsidR="00E01A97" w:rsidRPr="00951284">
        <w:rPr>
          <w:rFonts w:cstheme="minorHAnsi"/>
          <w:sz w:val="24"/>
          <w:szCs w:val="24"/>
        </w:rPr>
        <w:t xml:space="preserve">We </w:t>
      </w:r>
      <w:r w:rsidR="008B190B" w:rsidRPr="00951284">
        <w:rPr>
          <w:rFonts w:cstheme="minorHAnsi"/>
          <w:sz w:val="24"/>
          <w:szCs w:val="24"/>
        </w:rPr>
        <w:t xml:space="preserve">therefore </w:t>
      </w:r>
      <w:r w:rsidR="00E01A97" w:rsidRPr="00951284">
        <w:rPr>
          <w:rFonts w:cstheme="minorHAnsi"/>
          <w:sz w:val="24"/>
          <w:szCs w:val="24"/>
        </w:rPr>
        <w:t xml:space="preserve">lose one piece of information.  </w:t>
      </w:r>
      <w:r w:rsidR="00D4465D" w:rsidRPr="00951284">
        <w:rPr>
          <w:rFonts w:cstheme="minorHAnsi"/>
          <w:sz w:val="24"/>
          <w:szCs w:val="24"/>
        </w:rPr>
        <w:t xml:space="preserve">Now consider a sum of 98.  </w:t>
      </w:r>
      <w:r w:rsidRPr="00951284">
        <w:rPr>
          <w:rFonts w:cstheme="minorHAnsi"/>
          <w:sz w:val="24"/>
          <w:szCs w:val="24"/>
        </w:rPr>
        <w:t xml:space="preserve">To get 98, </w:t>
      </w:r>
      <w:r w:rsidR="002E0155">
        <w:rPr>
          <w:rFonts w:cstheme="minorHAnsi"/>
          <w:sz w:val="24"/>
          <w:szCs w:val="24"/>
        </w:rPr>
        <w:t>we</w:t>
      </w:r>
      <w:r w:rsidRPr="00951284">
        <w:rPr>
          <w:rFonts w:cstheme="minorHAnsi"/>
          <w:sz w:val="24"/>
          <w:szCs w:val="24"/>
        </w:rPr>
        <w:t xml:space="preserve"> need one </w:t>
      </w:r>
      <w:r w:rsidR="00DC53BB">
        <w:rPr>
          <w:rFonts w:cstheme="minorHAnsi"/>
          <w:sz w:val="24"/>
          <w:szCs w:val="24"/>
        </w:rPr>
        <w:t>number to be</w:t>
      </w:r>
      <w:r w:rsidRPr="00951284">
        <w:rPr>
          <w:rFonts w:cstheme="minorHAnsi"/>
          <w:sz w:val="24"/>
          <w:szCs w:val="24"/>
        </w:rPr>
        <w:t xml:space="preserve"> 8 or two</w:t>
      </w:r>
      <w:r>
        <w:rPr>
          <w:rFonts w:cstheme="minorHAnsi"/>
          <w:sz w:val="24"/>
          <w:szCs w:val="24"/>
        </w:rPr>
        <w:t xml:space="preserve"> </w:t>
      </w:r>
      <w:r w:rsidR="00DC53BB">
        <w:rPr>
          <w:rFonts w:cstheme="minorHAnsi"/>
          <w:sz w:val="24"/>
          <w:szCs w:val="24"/>
        </w:rPr>
        <w:t xml:space="preserve">numbers to be </w:t>
      </w:r>
      <w:r w:rsidRPr="00951284">
        <w:rPr>
          <w:rFonts w:cstheme="minorHAnsi"/>
          <w:sz w:val="24"/>
          <w:szCs w:val="24"/>
        </w:rPr>
        <w:t xml:space="preserve">9. </w:t>
      </w:r>
      <w:r w:rsidR="00A12C31">
        <w:rPr>
          <w:rFonts w:cstheme="minorHAnsi"/>
          <w:sz w:val="24"/>
          <w:szCs w:val="24"/>
        </w:rPr>
        <w:t xml:space="preserve"> </w:t>
      </w:r>
      <w:r w:rsidRPr="00951284">
        <w:rPr>
          <w:rFonts w:cstheme="minorHAnsi"/>
          <w:sz w:val="24"/>
          <w:szCs w:val="24"/>
        </w:rPr>
        <w:t xml:space="preserve">There are 10 ways for </w:t>
      </w:r>
      <w:r w:rsidR="002E0155">
        <w:rPr>
          <w:rFonts w:cstheme="minorHAnsi"/>
          <w:sz w:val="24"/>
          <w:szCs w:val="24"/>
        </w:rPr>
        <w:t xml:space="preserve">a </w:t>
      </w:r>
      <w:r w:rsidR="00DC53BB">
        <w:rPr>
          <w:rFonts w:cstheme="minorHAnsi"/>
          <w:sz w:val="24"/>
          <w:szCs w:val="24"/>
        </w:rPr>
        <w:t>number to be</w:t>
      </w:r>
      <w:r w:rsidRPr="00951284">
        <w:rPr>
          <w:rFonts w:cstheme="minorHAnsi"/>
          <w:sz w:val="24"/>
          <w:szCs w:val="24"/>
        </w:rPr>
        <w:t xml:space="preserve"> 9, and for each</w:t>
      </w:r>
      <w:r w:rsidR="00230D3E">
        <w:rPr>
          <w:rFonts w:cstheme="minorHAnsi"/>
          <w:sz w:val="24"/>
          <w:szCs w:val="24"/>
        </w:rPr>
        <w:t xml:space="preserve"> </w:t>
      </w:r>
      <w:r w:rsidRPr="00951284">
        <w:rPr>
          <w:rFonts w:cstheme="minorHAnsi"/>
          <w:sz w:val="24"/>
          <w:szCs w:val="24"/>
        </w:rPr>
        <w:t xml:space="preserve">of those we have nine ways for another </w:t>
      </w:r>
      <w:r w:rsidR="00DC53BB">
        <w:rPr>
          <w:rFonts w:cstheme="minorHAnsi"/>
          <w:sz w:val="24"/>
          <w:szCs w:val="24"/>
        </w:rPr>
        <w:t>number to be</w:t>
      </w:r>
      <w:r w:rsidRPr="00951284">
        <w:rPr>
          <w:rFonts w:cstheme="minorHAnsi"/>
          <w:sz w:val="24"/>
          <w:szCs w:val="24"/>
        </w:rPr>
        <w:t xml:space="preserve"> 9.</w:t>
      </w:r>
      <w:r w:rsidR="00A12C31">
        <w:rPr>
          <w:rFonts w:cstheme="minorHAnsi"/>
          <w:sz w:val="24"/>
          <w:szCs w:val="24"/>
        </w:rPr>
        <w:t xml:space="preserve"> </w:t>
      </w:r>
      <w:r w:rsidRPr="00951284">
        <w:rPr>
          <w:rFonts w:cstheme="minorHAnsi"/>
          <w:sz w:val="24"/>
          <w:szCs w:val="24"/>
        </w:rPr>
        <w:t xml:space="preserve"> Half of these</w:t>
      </w:r>
      <w:r>
        <w:rPr>
          <w:rFonts w:cstheme="minorHAnsi"/>
          <w:sz w:val="24"/>
          <w:szCs w:val="24"/>
        </w:rPr>
        <w:t xml:space="preserve"> </w:t>
      </w:r>
      <w:r w:rsidRPr="00951284">
        <w:rPr>
          <w:rFonts w:cstheme="minorHAnsi"/>
          <w:sz w:val="24"/>
          <w:szCs w:val="24"/>
        </w:rPr>
        <w:t>90 combinations are redundant, however, so we are left with 45 possibilities.</w:t>
      </w:r>
      <w:r>
        <w:rPr>
          <w:rFonts w:cstheme="minorHAnsi"/>
          <w:sz w:val="24"/>
          <w:szCs w:val="24"/>
        </w:rPr>
        <w:t xml:space="preserve"> </w:t>
      </w:r>
      <w:r w:rsidR="00A12C31">
        <w:rPr>
          <w:rFonts w:cstheme="minorHAnsi"/>
          <w:sz w:val="24"/>
          <w:szCs w:val="24"/>
        </w:rPr>
        <w:t xml:space="preserve"> </w:t>
      </w:r>
      <w:r w:rsidRPr="00951284">
        <w:rPr>
          <w:rFonts w:cstheme="minorHAnsi"/>
          <w:sz w:val="24"/>
          <w:szCs w:val="24"/>
        </w:rPr>
        <w:t xml:space="preserve">Add to this </w:t>
      </w:r>
      <w:r w:rsidR="00BC69A9">
        <w:rPr>
          <w:rFonts w:cstheme="minorHAnsi"/>
          <w:sz w:val="24"/>
          <w:szCs w:val="24"/>
        </w:rPr>
        <w:t xml:space="preserve">outcome </w:t>
      </w:r>
      <w:r w:rsidRPr="00951284">
        <w:rPr>
          <w:rFonts w:cstheme="minorHAnsi"/>
          <w:sz w:val="24"/>
          <w:szCs w:val="24"/>
        </w:rPr>
        <w:t>10 ways for one</w:t>
      </w:r>
      <w:r w:rsidR="00DC53BB">
        <w:rPr>
          <w:rFonts w:cstheme="minorHAnsi"/>
          <w:sz w:val="24"/>
          <w:szCs w:val="24"/>
        </w:rPr>
        <w:t xml:space="preserve"> number to be </w:t>
      </w:r>
      <w:r w:rsidRPr="00951284">
        <w:rPr>
          <w:rFonts w:cstheme="minorHAnsi"/>
          <w:sz w:val="24"/>
          <w:szCs w:val="24"/>
        </w:rPr>
        <w:t xml:space="preserve">8. </w:t>
      </w:r>
      <w:r w:rsidR="00A12C31">
        <w:rPr>
          <w:rFonts w:cstheme="minorHAnsi"/>
          <w:sz w:val="24"/>
          <w:szCs w:val="24"/>
        </w:rPr>
        <w:t xml:space="preserve"> </w:t>
      </w:r>
      <w:r w:rsidRPr="00951284">
        <w:rPr>
          <w:rFonts w:cstheme="minorHAnsi"/>
          <w:sz w:val="24"/>
          <w:szCs w:val="24"/>
        </w:rPr>
        <w:t>In total, there are</w:t>
      </w:r>
      <w:r>
        <w:rPr>
          <w:rFonts w:cstheme="minorHAnsi"/>
          <w:sz w:val="24"/>
          <w:szCs w:val="24"/>
        </w:rPr>
        <w:t xml:space="preserve"> </w:t>
      </w:r>
      <w:r w:rsidRPr="00951284">
        <w:rPr>
          <w:rFonts w:cstheme="minorHAnsi"/>
          <w:sz w:val="24"/>
          <w:szCs w:val="24"/>
        </w:rPr>
        <w:t xml:space="preserve">55 ways to arrive at a sum of 98. </w:t>
      </w:r>
      <w:r w:rsidR="00A12C31">
        <w:rPr>
          <w:rFonts w:cstheme="minorHAnsi"/>
          <w:sz w:val="24"/>
          <w:szCs w:val="24"/>
        </w:rPr>
        <w:t xml:space="preserve"> </w:t>
      </w:r>
      <w:r w:rsidRPr="00951284">
        <w:rPr>
          <w:rFonts w:cstheme="minorHAnsi"/>
          <w:sz w:val="24"/>
          <w:szCs w:val="24"/>
        </w:rPr>
        <w:t xml:space="preserve">Compared to the sum of 99, </w:t>
      </w:r>
      <w:r w:rsidR="002E0155">
        <w:rPr>
          <w:rFonts w:cstheme="minorHAnsi"/>
          <w:sz w:val="24"/>
          <w:szCs w:val="24"/>
        </w:rPr>
        <w:t>we</w:t>
      </w:r>
      <w:r w:rsidR="00870747">
        <w:rPr>
          <w:rFonts w:cstheme="minorHAnsi"/>
          <w:sz w:val="24"/>
          <w:szCs w:val="24"/>
        </w:rPr>
        <w:t xml:space="preserve"> </w:t>
      </w:r>
      <w:r w:rsidRPr="00951284">
        <w:rPr>
          <w:rFonts w:cstheme="minorHAnsi"/>
          <w:sz w:val="24"/>
          <w:szCs w:val="24"/>
        </w:rPr>
        <w:t xml:space="preserve">now have one less piece of information because </w:t>
      </w:r>
      <w:r w:rsidR="002E0155">
        <w:rPr>
          <w:rFonts w:cstheme="minorHAnsi"/>
          <w:sz w:val="24"/>
          <w:szCs w:val="24"/>
        </w:rPr>
        <w:t>we</w:t>
      </w:r>
      <w:r w:rsidRPr="00951284">
        <w:rPr>
          <w:rFonts w:cstheme="minorHAnsi"/>
          <w:sz w:val="24"/>
          <w:szCs w:val="24"/>
        </w:rPr>
        <w:t xml:space="preserve"> know that two</w:t>
      </w:r>
      <w:r>
        <w:rPr>
          <w:rFonts w:cstheme="minorHAnsi"/>
          <w:sz w:val="24"/>
          <w:szCs w:val="24"/>
        </w:rPr>
        <w:t xml:space="preserve"> </w:t>
      </w:r>
      <w:r w:rsidRPr="00951284">
        <w:rPr>
          <w:rFonts w:cstheme="minorHAnsi"/>
          <w:sz w:val="24"/>
          <w:szCs w:val="24"/>
        </w:rPr>
        <w:t>of the numbers (or one of the numbers, twice) must be incrementally</w:t>
      </w:r>
      <w:r>
        <w:rPr>
          <w:rFonts w:cstheme="minorHAnsi"/>
          <w:sz w:val="24"/>
          <w:szCs w:val="24"/>
        </w:rPr>
        <w:t xml:space="preserve"> </w:t>
      </w:r>
      <w:r w:rsidRPr="00951284">
        <w:rPr>
          <w:rFonts w:cstheme="minorHAnsi"/>
          <w:sz w:val="24"/>
          <w:szCs w:val="24"/>
        </w:rPr>
        <w:t xml:space="preserve">lower than 10, but </w:t>
      </w:r>
      <w:r w:rsidR="002E0155">
        <w:rPr>
          <w:rFonts w:cstheme="minorHAnsi"/>
          <w:sz w:val="24"/>
          <w:szCs w:val="24"/>
        </w:rPr>
        <w:t>we</w:t>
      </w:r>
      <w:r w:rsidRPr="00951284">
        <w:rPr>
          <w:rFonts w:cstheme="minorHAnsi"/>
          <w:sz w:val="24"/>
          <w:szCs w:val="24"/>
        </w:rPr>
        <w:t xml:space="preserve"> do not know which </w:t>
      </w:r>
      <w:r w:rsidR="00870747">
        <w:rPr>
          <w:rFonts w:cstheme="minorHAnsi"/>
          <w:sz w:val="24"/>
          <w:szCs w:val="24"/>
        </w:rPr>
        <w:t>numbers in the sequence are the</w:t>
      </w:r>
      <w:r>
        <w:rPr>
          <w:rFonts w:cstheme="minorHAnsi"/>
          <w:sz w:val="24"/>
          <w:szCs w:val="24"/>
        </w:rPr>
        <w:t xml:space="preserve"> </w:t>
      </w:r>
      <w:r w:rsidRPr="00951284">
        <w:rPr>
          <w:rFonts w:cstheme="minorHAnsi"/>
          <w:sz w:val="24"/>
          <w:szCs w:val="24"/>
        </w:rPr>
        <w:t xml:space="preserve">lower numbers. </w:t>
      </w:r>
      <w:r w:rsidR="00A12C31">
        <w:rPr>
          <w:rFonts w:cstheme="minorHAnsi"/>
          <w:sz w:val="24"/>
          <w:szCs w:val="24"/>
        </w:rPr>
        <w:t xml:space="preserve"> </w:t>
      </w:r>
      <w:r w:rsidRPr="00951284">
        <w:rPr>
          <w:rFonts w:cstheme="minorHAnsi"/>
          <w:sz w:val="24"/>
          <w:szCs w:val="24"/>
        </w:rPr>
        <w:t>The bottom line is that probabilities multiply and</w:t>
      </w:r>
      <w:r>
        <w:rPr>
          <w:rFonts w:cstheme="minorHAnsi"/>
          <w:sz w:val="24"/>
          <w:szCs w:val="24"/>
        </w:rPr>
        <w:t xml:space="preserve"> </w:t>
      </w:r>
      <w:r w:rsidRPr="00951284">
        <w:rPr>
          <w:rFonts w:cstheme="minorHAnsi"/>
          <w:sz w:val="24"/>
          <w:szCs w:val="24"/>
        </w:rPr>
        <w:t xml:space="preserve">information adds. </w:t>
      </w:r>
      <w:r w:rsidR="00A12C31">
        <w:rPr>
          <w:rFonts w:cstheme="minorHAnsi"/>
          <w:sz w:val="24"/>
          <w:szCs w:val="24"/>
        </w:rPr>
        <w:t xml:space="preserve"> </w:t>
      </w:r>
      <w:r w:rsidRPr="00951284">
        <w:rPr>
          <w:rFonts w:cstheme="minorHAnsi"/>
          <w:sz w:val="24"/>
          <w:szCs w:val="24"/>
        </w:rPr>
        <w:t xml:space="preserve">They are intimately connected. </w:t>
      </w:r>
      <w:r w:rsidR="00A12C31">
        <w:rPr>
          <w:rFonts w:cstheme="minorHAnsi"/>
          <w:sz w:val="24"/>
          <w:szCs w:val="24"/>
        </w:rPr>
        <w:t xml:space="preserve"> </w:t>
      </w:r>
      <w:r w:rsidRPr="00951284">
        <w:rPr>
          <w:rFonts w:cstheme="minorHAnsi"/>
          <w:sz w:val="24"/>
          <w:szCs w:val="24"/>
        </w:rPr>
        <w:t>The lower the probability</w:t>
      </w:r>
      <w:r>
        <w:rPr>
          <w:rFonts w:cstheme="minorHAnsi"/>
          <w:sz w:val="24"/>
          <w:szCs w:val="24"/>
        </w:rPr>
        <w:t xml:space="preserve"> </w:t>
      </w:r>
      <w:r w:rsidRPr="00951284">
        <w:rPr>
          <w:rFonts w:cstheme="minorHAnsi"/>
          <w:sz w:val="24"/>
          <w:szCs w:val="24"/>
        </w:rPr>
        <w:t>of an event, the more information it conveys</w:t>
      </w:r>
      <w:r>
        <w:rPr>
          <w:rFonts w:ascii="BemboStd" w:hAnsi="BemboStd" w:cs="BemboStd"/>
          <w:sz w:val="23"/>
          <w:szCs w:val="23"/>
        </w:rPr>
        <w:t>.</w:t>
      </w:r>
      <w:r w:rsidR="00564DAD" w:rsidRPr="00B05164">
        <w:rPr>
          <w:rFonts w:cstheme="minorHAnsi"/>
          <w:sz w:val="24"/>
          <w:szCs w:val="24"/>
          <w:highlight w:val="yellow"/>
        </w:rPr>
        <w:t xml:space="preserve"> </w:t>
      </w:r>
    </w:p>
    <w:p w14:paraId="01562DD5" w14:textId="269F9820" w:rsidR="002733C8" w:rsidRDefault="0017631B" w:rsidP="00870747">
      <w:pPr>
        <w:spacing w:line="480" w:lineRule="auto"/>
        <w:rPr>
          <w:sz w:val="24"/>
          <w:szCs w:val="24"/>
        </w:rPr>
      </w:pPr>
      <w:r>
        <w:rPr>
          <w:sz w:val="24"/>
          <w:szCs w:val="24"/>
        </w:rPr>
        <w:tab/>
      </w:r>
      <w:r w:rsidR="00D35CFF">
        <w:rPr>
          <w:sz w:val="24"/>
          <w:szCs w:val="24"/>
        </w:rPr>
        <w:t xml:space="preserve">In light of </w:t>
      </w:r>
      <w:r>
        <w:rPr>
          <w:sz w:val="24"/>
          <w:szCs w:val="24"/>
        </w:rPr>
        <w:t>Shannon’s insight that unusual events are more informative than common events</w:t>
      </w:r>
      <w:r w:rsidR="00D35CFF">
        <w:rPr>
          <w:sz w:val="24"/>
          <w:szCs w:val="24"/>
        </w:rPr>
        <w:t xml:space="preserve">, we explore </w:t>
      </w:r>
      <w:r w:rsidR="007F291F">
        <w:rPr>
          <w:sz w:val="24"/>
          <w:szCs w:val="24"/>
        </w:rPr>
        <w:t>some</w:t>
      </w:r>
      <w:r w:rsidR="00D35CFF">
        <w:rPr>
          <w:sz w:val="24"/>
          <w:szCs w:val="24"/>
        </w:rPr>
        <w:t xml:space="preserve"> implications of re</w:t>
      </w:r>
      <w:r w:rsidR="00AC7FEF">
        <w:rPr>
          <w:sz w:val="24"/>
          <w:szCs w:val="24"/>
        </w:rPr>
        <w:t>cording</w:t>
      </w:r>
      <w:r w:rsidR="00D35CFF">
        <w:rPr>
          <w:sz w:val="24"/>
          <w:szCs w:val="24"/>
        </w:rPr>
        <w:t xml:space="preserve"> asset returns </w:t>
      </w:r>
      <w:r w:rsidR="00AC7FEF">
        <w:rPr>
          <w:sz w:val="24"/>
          <w:szCs w:val="24"/>
        </w:rPr>
        <w:t xml:space="preserve">against a chosen quantity of </w:t>
      </w:r>
      <w:r w:rsidR="00A12C31">
        <w:rPr>
          <w:sz w:val="24"/>
          <w:szCs w:val="24"/>
        </w:rPr>
        <w:t xml:space="preserve">event intensity, which we measure as </w:t>
      </w:r>
      <w:r w:rsidR="00E25462">
        <w:rPr>
          <w:sz w:val="24"/>
          <w:szCs w:val="24"/>
        </w:rPr>
        <w:t>cumulative</w:t>
      </w:r>
      <w:r w:rsidR="00A12C31">
        <w:rPr>
          <w:sz w:val="24"/>
          <w:szCs w:val="24"/>
        </w:rPr>
        <w:t xml:space="preserve"> unusualness</w:t>
      </w:r>
      <w:r w:rsidR="00AC7FEF">
        <w:rPr>
          <w:sz w:val="24"/>
          <w:szCs w:val="24"/>
        </w:rPr>
        <w:t xml:space="preserve">, as opposed to a chosen quantity of time.  Exhibit </w:t>
      </w:r>
      <w:r w:rsidR="00BC69A9">
        <w:rPr>
          <w:sz w:val="24"/>
          <w:szCs w:val="24"/>
        </w:rPr>
        <w:t>1</w:t>
      </w:r>
      <w:r w:rsidR="00AC7FEF">
        <w:rPr>
          <w:sz w:val="24"/>
          <w:szCs w:val="24"/>
        </w:rPr>
        <w:t xml:space="preserve"> offers a</w:t>
      </w:r>
      <w:r w:rsidR="000D2078">
        <w:rPr>
          <w:sz w:val="24"/>
          <w:szCs w:val="24"/>
        </w:rPr>
        <w:t xml:space="preserve">n impressionistic </w:t>
      </w:r>
      <w:r w:rsidR="00AC7FEF">
        <w:rPr>
          <w:sz w:val="24"/>
          <w:szCs w:val="24"/>
        </w:rPr>
        <w:t xml:space="preserve">visualization of how we rescale </w:t>
      </w:r>
      <w:r w:rsidR="00BC6AFA">
        <w:rPr>
          <w:sz w:val="24"/>
          <w:szCs w:val="24"/>
        </w:rPr>
        <w:t xml:space="preserve">calendar </w:t>
      </w:r>
      <w:r w:rsidR="00AC7FEF">
        <w:rPr>
          <w:sz w:val="24"/>
          <w:szCs w:val="24"/>
        </w:rPr>
        <w:t>time to event</w:t>
      </w:r>
      <w:r w:rsidR="00BC6AFA">
        <w:rPr>
          <w:sz w:val="24"/>
          <w:szCs w:val="24"/>
        </w:rPr>
        <w:t xml:space="preserve"> time</w:t>
      </w:r>
      <w:r w:rsidR="00AC7FEF">
        <w:rPr>
          <w:sz w:val="24"/>
          <w:szCs w:val="24"/>
        </w:rPr>
        <w:t>.</w:t>
      </w:r>
    </w:p>
    <w:p w14:paraId="758F84F7" w14:textId="46AF0A28" w:rsidR="0017631B" w:rsidRDefault="00AC7FEF" w:rsidP="00AC7FEF">
      <w:pPr>
        <w:spacing w:line="480" w:lineRule="auto"/>
        <w:jc w:val="center"/>
        <w:rPr>
          <w:sz w:val="24"/>
          <w:szCs w:val="24"/>
        </w:rPr>
      </w:pPr>
      <w:r>
        <w:rPr>
          <w:sz w:val="24"/>
          <w:szCs w:val="24"/>
        </w:rPr>
        <w:lastRenderedPageBreak/>
        <w:t xml:space="preserve">Exhibit </w:t>
      </w:r>
      <w:r w:rsidR="00BC69A9">
        <w:rPr>
          <w:sz w:val="24"/>
          <w:szCs w:val="24"/>
        </w:rPr>
        <w:t>1</w:t>
      </w:r>
      <w:r>
        <w:rPr>
          <w:sz w:val="24"/>
          <w:szCs w:val="24"/>
        </w:rPr>
        <w:t xml:space="preserve">: </w:t>
      </w:r>
      <w:r w:rsidR="00CA29AC">
        <w:rPr>
          <w:sz w:val="24"/>
          <w:szCs w:val="24"/>
        </w:rPr>
        <w:t>Calendar Time versus Event Time</w:t>
      </w:r>
    </w:p>
    <w:p w14:paraId="1C60DFA7" w14:textId="5B16DE37" w:rsidR="00AC7FEF" w:rsidRDefault="001D2593" w:rsidP="00AC7FEF">
      <w:pPr>
        <w:spacing w:line="480" w:lineRule="auto"/>
        <w:jc w:val="center"/>
        <w:rPr>
          <w:sz w:val="24"/>
          <w:szCs w:val="24"/>
        </w:rPr>
      </w:pPr>
      <w:r>
        <w:rPr>
          <w:noProof/>
          <w:sz w:val="24"/>
          <w:szCs w:val="24"/>
        </w:rPr>
        <w:drawing>
          <wp:inline distT="0" distB="0" distL="0" distR="0" wp14:anchorId="2B2B17B2" wp14:editId="4C86667E">
            <wp:extent cx="4889500" cy="5231130"/>
            <wp:effectExtent l="0" t="0" r="635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9500" cy="5231130"/>
                    </a:xfrm>
                    <a:prstGeom prst="rect">
                      <a:avLst/>
                    </a:prstGeom>
                    <a:noFill/>
                  </pic:spPr>
                </pic:pic>
              </a:graphicData>
            </a:graphic>
          </wp:inline>
        </w:drawing>
      </w:r>
    </w:p>
    <w:p w14:paraId="46C5F31E" w14:textId="330CB039" w:rsidR="00D33A7A" w:rsidRDefault="00D33A7A" w:rsidP="00D33A7A">
      <w:pPr>
        <w:spacing w:line="480" w:lineRule="auto"/>
        <w:rPr>
          <w:sz w:val="24"/>
          <w:szCs w:val="24"/>
        </w:rPr>
      </w:pPr>
    </w:p>
    <w:p w14:paraId="08D14AE2" w14:textId="539BD4D9" w:rsidR="00D33A7A" w:rsidRDefault="00D33A7A" w:rsidP="00D33A7A">
      <w:pPr>
        <w:spacing w:line="480" w:lineRule="auto"/>
        <w:rPr>
          <w:sz w:val="24"/>
          <w:szCs w:val="24"/>
        </w:rPr>
      </w:pPr>
      <w:r>
        <w:rPr>
          <w:sz w:val="24"/>
          <w:szCs w:val="24"/>
        </w:rPr>
        <w:tab/>
        <w:t xml:space="preserve">The top panel of Exhibit </w:t>
      </w:r>
      <w:r w:rsidR="006268E1">
        <w:rPr>
          <w:sz w:val="24"/>
          <w:szCs w:val="24"/>
        </w:rPr>
        <w:t>1</w:t>
      </w:r>
      <w:r>
        <w:rPr>
          <w:sz w:val="24"/>
          <w:szCs w:val="24"/>
        </w:rPr>
        <w:t xml:space="preserve"> plots the degree of event</w:t>
      </w:r>
      <w:r w:rsidR="00B05164">
        <w:rPr>
          <w:sz w:val="24"/>
          <w:szCs w:val="24"/>
        </w:rPr>
        <w:t xml:space="preserve"> intensity</w:t>
      </w:r>
      <w:r>
        <w:rPr>
          <w:sz w:val="24"/>
          <w:szCs w:val="24"/>
        </w:rPr>
        <w:t xml:space="preserve"> over eight equal </w:t>
      </w:r>
      <w:r w:rsidR="00E25462">
        <w:rPr>
          <w:sz w:val="24"/>
          <w:szCs w:val="24"/>
        </w:rPr>
        <w:t>intervals of time</w:t>
      </w:r>
      <w:r>
        <w:rPr>
          <w:sz w:val="24"/>
          <w:szCs w:val="24"/>
        </w:rPr>
        <w:t xml:space="preserve">. </w:t>
      </w:r>
      <w:r w:rsidR="00E25462">
        <w:rPr>
          <w:sz w:val="24"/>
          <w:szCs w:val="24"/>
        </w:rPr>
        <w:t xml:space="preserve"> </w:t>
      </w:r>
      <w:r>
        <w:rPr>
          <w:sz w:val="24"/>
          <w:szCs w:val="24"/>
        </w:rPr>
        <w:t>The bottom panel shows the length of time required to reach equal levels of event</w:t>
      </w:r>
      <w:r w:rsidR="00B05164">
        <w:rPr>
          <w:sz w:val="24"/>
          <w:szCs w:val="24"/>
        </w:rPr>
        <w:t xml:space="preserve"> intensity</w:t>
      </w:r>
      <w:r>
        <w:rPr>
          <w:sz w:val="24"/>
          <w:szCs w:val="24"/>
        </w:rPr>
        <w:t xml:space="preserve">. </w:t>
      </w:r>
      <w:r w:rsidR="00E25462">
        <w:rPr>
          <w:sz w:val="24"/>
          <w:szCs w:val="24"/>
        </w:rPr>
        <w:t xml:space="preserve"> </w:t>
      </w:r>
      <w:r w:rsidR="00D5315B">
        <w:rPr>
          <w:sz w:val="24"/>
          <w:szCs w:val="24"/>
        </w:rPr>
        <w:t>In this illustration, w</w:t>
      </w:r>
      <w:r w:rsidR="00745424">
        <w:rPr>
          <w:sz w:val="24"/>
          <w:szCs w:val="24"/>
        </w:rPr>
        <w:t xml:space="preserve">e suppose that </w:t>
      </w:r>
      <w:r w:rsidR="00726E97">
        <w:rPr>
          <w:sz w:val="24"/>
          <w:szCs w:val="24"/>
        </w:rPr>
        <w:t>event intensity</w:t>
      </w:r>
      <w:r w:rsidR="00745424">
        <w:rPr>
          <w:sz w:val="24"/>
          <w:szCs w:val="24"/>
        </w:rPr>
        <w:t xml:space="preserve"> requires a threshold of 4.  To begin, it takes three periods to reach </w:t>
      </w:r>
      <w:r w:rsidR="00BC6AFA">
        <w:rPr>
          <w:sz w:val="24"/>
          <w:szCs w:val="24"/>
        </w:rPr>
        <w:t xml:space="preserve">our threshold for </w:t>
      </w:r>
      <w:r w:rsidR="00726E97">
        <w:rPr>
          <w:sz w:val="24"/>
          <w:szCs w:val="24"/>
        </w:rPr>
        <w:t>event intensity</w:t>
      </w:r>
      <w:r w:rsidR="00745424">
        <w:rPr>
          <w:sz w:val="24"/>
          <w:szCs w:val="24"/>
        </w:rPr>
        <w:t xml:space="preserve">.  Then </w:t>
      </w:r>
      <w:r w:rsidR="00726E97">
        <w:rPr>
          <w:sz w:val="24"/>
          <w:szCs w:val="24"/>
        </w:rPr>
        <w:t>event intensity</w:t>
      </w:r>
      <w:r w:rsidR="00745424">
        <w:rPr>
          <w:sz w:val="24"/>
          <w:szCs w:val="24"/>
        </w:rPr>
        <w:t xml:space="preserve"> occurs after just a single period.  And then four periods must pass to again reach </w:t>
      </w:r>
      <w:r w:rsidR="00E25462">
        <w:rPr>
          <w:sz w:val="24"/>
          <w:szCs w:val="24"/>
        </w:rPr>
        <w:t xml:space="preserve">the threshold </w:t>
      </w:r>
      <w:r w:rsidR="00E25462">
        <w:rPr>
          <w:sz w:val="24"/>
          <w:szCs w:val="24"/>
        </w:rPr>
        <w:lastRenderedPageBreak/>
        <w:t xml:space="preserve">of </w:t>
      </w:r>
      <w:r w:rsidR="00726E97">
        <w:rPr>
          <w:sz w:val="24"/>
          <w:szCs w:val="24"/>
        </w:rPr>
        <w:t>event intensity</w:t>
      </w:r>
      <w:r w:rsidR="00745424">
        <w:rPr>
          <w:sz w:val="24"/>
          <w:szCs w:val="24"/>
        </w:rPr>
        <w:t xml:space="preserve">.  </w:t>
      </w:r>
      <w:r>
        <w:rPr>
          <w:sz w:val="24"/>
          <w:szCs w:val="24"/>
        </w:rPr>
        <w:t xml:space="preserve">Our proposal is to record returns across equal units of </w:t>
      </w:r>
      <w:r w:rsidR="00726E97">
        <w:rPr>
          <w:sz w:val="24"/>
          <w:szCs w:val="24"/>
        </w:rPr>
        <w:t>event intensity</w:t>
      </w:r>
      <w:r>
        <w:rPr>
          <w:sz w:val="24"/>
          <w:szCs w:val="24"/>
        </w:rPr>
        <w:t xml:space="preserve"> instead of equal units of time</w:t>
      </w:r>
      <w:r w:rsidR="00745424">
        <w:rPr>
          <w:sz w:val="24"/>
          <w:szCs w:val="24"/>
        </w:rPr>
        <w:t xml:space="preserve"> and to carry out investment research in units of </w:t>
      </w:r>
      <w:r w:rsidR="00726E97">
        <w:rPr>
          <w:sz w:val="24"/>
          <w:szCs w:val="24"/>
        </w:rPr>
        <w:t>event intensity</w:t>
      </w:r>
      <w:r w:rsidR="00745424">
        <w:rPr>
          <w:sz w:val="24"/>
          <w:szCs w:val="24"/>
        </w:rPr>
        <w:t xml:space="preserve">.  We next describe how to measure </w:t>
      </w:r>
      <w:r w:rsidR="00726E97">
        <w:rPr>
          <w:sz w:val="24"/>
          <w:szCs w:val="24"/>
        </w:rPr>
        <w:t>event intensity</w:t>
      </w:r>
      <w:r w:rsidR="00E25462">
        <w:rPr>
          <w:sz w:val="24"/>
          <w:szCs w:val="24"/>
        </w:rPr>
        <w:t xml:space="preserve"> with empirical precision</w:t>
      </w:r>
      <w:r w:rsidR="00745424">
        <w:rPr>
          <w:sz w:val="24"/>
          <w:szCs w:val="24"/>
        </w:rPr>
        <w:t>.</w:t>
      </w:r>
    </w:p>
    <w:p w14:paraId="73A76E5E" w14:textId="77777777" w:rsidR="0086717E" w:rsidRDefault="0086717E" w:rsidP="00D33A7A">
      <w:pPr>
        <w:spacing w:line="480" w:lineRule="auto"/>
        <w:rPr>
          <w:b/>
          <w:bCs/>
          <w:sz w:val="24"/>
          <w:szCs w:val="24"/>
        </w:rPr>
      </w:pPr>
    </w:p>
    <w:p w14:paraId="02C95DC0" w14:textId="305623C8" w:rsidR="00745424" w:rsidRDefault="00726E97" w:rsidP="00D33A7A">
      <w:pPr>
        <w:spacing w:line="480" w:lineRule="auto"/>
        <w:rPr>
          <w:b/>
          <w:bCs/>
          <w:sz w:val="24"/>
          <w:szCs w:val="24"/>
        </w:rPr>
      </w:pPr>
      <w:r>
        <w:rPr>
          <w:b/>
          <w:bCs/>
          <w:sz w:val="24"/>
          <w:szCs w:val="24"/>
        </w:rPr>
        <w:t>Event intensity</w:t>
      </w:r>
    </w:p>
    <w:p w14:paraId="3549214F" w14:textId="1F59A4C4" w:rsidR="00D5315B" w:rsidRDefault="00064EB8" w:rsidP="00D33A7A">
      <w:pPr>
        <w:spacing w:line="480" w:lineRule="auto"/>
        <w:rPr>
          <w:sz w:val="24"/>
          <w:szCs w:val="24"/>
        </w:rPr>
      </w:pPr>
      <w:r>
        <w:rPr>
          <w:sz w:val="24"/>
          <w:szCs w:val="24"/>
        </w:rPr>
        <w:t>Seemingly, t</w:t>
      </w:r>
      <w:r w:rsidR="00D5315B">
        <w:rPr>
          <w:sz w:val="24"/>
          <w:szCs w:val="24"/>
        </w:rPr>
        <w:t xml:space="preserve">he most natural approach for measuring </w:t>
      </w:r>
      <w:r w:rsidR="00726E97">
        <w:rPr>
          <w:sz w:val="24"/>
          <w:szCs w:val="24"/>
        </w:rPr>
        <w:t>event intensity</w:t>
      </w:r>
      <w:r w:rsidR="00D5315B">
        <w:rPr>
          <w:sz w:val="24"/>
          <w:szCs w:val="24"/>
        </w:rPr>
        <w:t xml:space="preserve"> would be to monitor the news</w:t>
      </w:r>
      <w:r>
        <w:rPr>
          <w:sz w:val="24"/>
          <w:szCs w:val="24"/>
        </w:rPr>
        <w:t xml:space="preserve">, </w:t>
      </w:r>
      <w:r w:rsidR="00D5315B">
        <w:rPr>
          <w:sz w:val="24"/>
          <w:szCs w:val="24"/>
        </w:rPr>
        <w:t xml:space="preserve">record the number and significance of </w:t>
      </w:r>
      <w:r>
        <w:rPr>
          <w:sz w:val="24"/>
          <w:szCs w:val="24"/>
        </w:rPr>
        <w:t>events</w:t>
      </w:r>
      <w:r w:rsidR="005C0B7F" w:rsidRPr="005C0B7F">
        <w:rPr>
          <w:sz w:val="24"/>
          <w:szCs w:val="24"/>
        </w:rPr>
        <w:t xml:space="preserve"> </w:t>
      </w:r>
      <w:r w:rsidR="005C0B7F">
        <w:rPr>
          <w:sz w:val="24"/>
          <w:szCs w:val="24"/>
        </w:rPr>
        <w:t>given some quantification scheme,</w:t>
      </w:r>
      <w:r w:rsidR="00D5315B">
        <w:rPr>
          <w:sz w:val="24"/>
          <w:szCs w:val="24"/>
        </w:rPr>
        <w:t xml:space="preserve"> </w:t>
      </w:r>
      <w:r>
        <w:rPr>
          <w:sz w:val="24"/>
          <w:szCs w:val="24"/>
        </w:rPr>
        <w:t>and carve up history into event units.</w:t>
      </w:r>
      <w:r w:rsidR="002C36DE">
        <w:rPr>
          <w:sz w:val="24"/>
          <w:szCs w:val="24"/>
        </w:rPr>
        <w:t xml:space="preserve"> </w:t>
      </w:r>
      <w:r>
        <w:rPr>
          <w:sz w:val="24"/>
          <w:szCs w:val="24"/>
        </w:rPr>
        <w:t xml:space="preserve"> However, not only would this approach be unduly laborious</w:t>
      </w:r>
      <w:r w:rsidR="00D964F1">
        <w:rPr>
          <w:sz w:val="24"/>
          <w:szCs w:val="24"/>
        </w:rPr>
        <w:t>;</w:t>
      </w:r>
      <w:r>
        <w:rPr>
          <w:sz w:val="24"/>
          <w:szCs w:val="24"/>
        </w:rPr>
        <w:t xml:space="preserve"> it would depend on subjective interpretation with significant potential for bias. </w:t>
      </w:r>
      <w:r w:rsidR="002C36DE">
        <w:rPr>
          <w:sz w:val="24"/>
          <w:szCs w:val="24"/>
        </w:rPr>
        <w:t xml:space="preserve"> </w:t>
      </w:r>
      <w:r>
        <w:rPr>
          <w:sz w:val="24"/>
          <w:szCs w:val="24"/>
        </w:rPr>
        <w:t xml:space="preserve">Moreover, this approach </w:t>
      </w:r>
      <w:r w:rsidR="005A5FE0">
        <w:rPr>
          <w:sz w:val="24"/>
          <w:szCs w:val="24"/>
        </w:rPr>
        <w:t>might</w:t>
      </w:r>
      <w:r>
        <w:rPr>
          <w:sz w:val="24"/>
          <w:szCs w:val="24"/>
        </w:rPr>
        <w:t xml:space="preserve"> overlook non-newsworthy events that nonetheless </w:t>
      </w:r>
      <w:r w:rsidR="00CC297A">
        <w:rPr>
          <w:sz w:val="24"/>
          <w:szCs w:val="24"/>
        </w:rPr>
        <w:t>would be</w:t>
      </w:r>
      <w:r>
        <w:rPr>
          <w:sz w:val="24"/>
          <w:szCs w:val="24"/>
        </w:rPr>
        <w:t xml:space="preserve"> relevant within </w:t>
      </w:r>
      <w:r w:rsidR="00BC4CE8">
        <w:rPr>
          <w:sz w:val="24"/>
          <w:szCs w:val="24"/>
        </w:rPr>
        <w:t>a</w:t>
      </w:r>
      <w:r>
        <w:rPr>
          <w:sz w:val="24"/>
          <w:szCs w:val="24"/>
        </w:rPr>
        <w:t xml:space="preserve"> particular context.</w:t>
      </w:r>
      <w:r w:rsidR="005A5FE0">
        <w:rPr>
          <w:sz w:val="24"/>
          <w:szCs w:val="24"/>
        </w:rPr>
        <w:t xml:space="preserve">  </w:t>
      </w:r>
      <w:r w:rsidR="00BC4CE8">
        <w:rPr>
          <w:sz w:val="24"/>
          <w:szCs w:val="24"/>
        </w:rPr>
        <w:t xml:space="preserve">Therefore, we resort to a statistical measure of </w:t>
      </w:r>
      <w:r w:rsidR="00726E97">
        <w:rPr>
          <w:sz w:val="24"/>
          <w:szCs w:val="24"/>
        </w:rPr>
        <w:t>event intensity</w:t>
      </w:r>
      <w:r w:rsidR="00BC4CE8">
        <w:rPr>
          <w:sz w:val="24"/>
          <w:szCs w:val="24"/>
        </w:rPr>
        <w:t xml:space="preserve"> based on the Mahalanobis distance.</w:t>
      </w:r>
    </w:p>
    <w:p w14:paraId="4B6B7C00" w14:textId="77CA5B20" w:rsidR="00CA29AC" w:rsidRPr="00CA29AC" w:rsidRDefault="00CA29AC" w:rsidP="00D33A7A">
      <w:pPr>
        <w:spacing w:line="480" w:lineRule="auto"/>
        <w:rPr>
          <w:sz w:val="24"/>
          <w:szCs w:val="24"/>
          <w:u w:val="single"/>
        </w:rPr>
      </w:pPr>
      <w:r w:rsidRPr="00CA29AC">
        <w:rPr>
          <w:sz w:val="24"/>
          <w:szCs w:val="24"/>
          <w:u w:val="single"/>
        </w:rPr>
        <w:t>The Mahalanobis Distance</w:t>
      </w:r>
    </w:p>
    <w:p w14:paraId="2057F0CB" w14:textId="6C67B8C3" w:rsidR="00D964F1" w:rsidRDefault="00D964F1" w:rsidP="00CA29AC">
      <w:pPr>
        <w:spacing w:line="480" w:lineRule="auto"/>
        <w:rPr>
          <w:rFonts w:ascii="Calibri" w:hAnsi="Calibri" w:cs="Calibri"/>
          <w:sz w:val="24"/>
          <w:szCs w:val="24"/>
        </w:rPr>
      </w:pPr>
      <w:r>
        <w:rPr>
          <w:rFonts w:ascii="Calibri" w:hAnsi="Calibri" w:cs="Calibri"/>
          <w:sz w:val="24"/>
          <w:szCs w:val="24"/>
        </w:rPr>
        <w:t xml:space="preserve">The Mahalanobis distance was introduced originally in 1927 and modified in 1936 </w:t>
      </w:r>
      <w:r w:rsidR="00CA29AC">
        <w:rPr>
          <w:rFonts w:ascii="Calibri" w:hAnsi="Calibri" w:cs="Calibri"/>
          <w:sz w:val="24"/>
          <w:szCs w:val="24"/>
        </w:rPr>
        <w:t xml:space="preserve">by an Indian statistician </w:t>
      </w:r>
      <w:r>
        <w:rPr>
          <w:rFonts w:ascii="Calibri" w:hAnsi="Calibri" w:cs="Calibri"/>
          <w:sz w:val="24"/>
          <w:szCs w:val="24"/>
        </w:rPr>
        <w:t xml:space="preserve">to analyze resemblances in human skulls among </w:t>
      </w:r>
      <w:r w:rsidR="00A962C6">
        <w:rPr>
          <w:rFonts w:ascii="Calibri" w:hAnsi="Calibri" w:cs="Calibri"/>
          <w:sz w:val="24"/>
          <w:szCs w:val="24"/>
        </w:rPr>
        <w:t>people with mixed British and Indian parentage.</w:t>
      </w:r>
      <w:r>
        <w:rPr>
          <w:rStyle w:val="EndnoteReference"/>
          <w:rFonts w:ascii="Calibri" w:hAnsi="Calibri" w:cs="Calibri"/>
          <w:sz w:val="24"/>
          <w:szCs w:val="24"/>
        </w:rPr>
        <w:endnoteReference w:id="1"/>
      </w:r>
      <w:r>
        <w:rPr>
          <w:rFonts w:ascii="Calibri" w:hAnsi="Calibri" w:cs="Calibri"/>
          <w:sz w:val="24"/>
          <w:szCs w:val="24"/>
        </w:rPr>
        <w:t xml:space="preserve">  Mahalanobis compared a set of measurements for a chosen skull to the average of those measurements across skulls within a given </w:t>
      </w:r>
      <w:r w:rsidR="00A962C6">
        <w:rPr>
          <w:rFonts w:ascii="Calibri" w:hAnsi="Calibri" w:cs="Calibri"/>
          <w:sz w:val="24"/>
          <w:szCs w:val="24"/>
        </w:rPr>
        <w:t>group</w:t>
      </w:r>
      <w:r>
        <w:rPr>
          <w:rFonts w:ascii="Calibri" w:hAnsi="Calibri" w:cs="Calibri"/>
          <w:sz w:val="24"/>
          <w:szCs w:val="24"/>
        </w:rPr>
        <w:t xml:space="preserve">.  He also compared the co-occurrence of those measurements for a chosen skull to their covariation within the </w:t>
      </w:r>
      <w:r w:rsidR="00A962C6">
        <w:rPr>
          <w:rFonts w:ascii="Calibri" w:hAnsi="Calibri" w:cs="Calibri"/>
          <w:sz w:val="24"/>
          <w:szCs w:val="24"/>
        </w:rPr>
        <w:t>group</w:t>
      </w:r>
      <w:r>
        <w:rPr>
          <w:rFonts w:ascii="Calibri" w:hAnsi="Calibri" w:cs="Calibri"/>
          <w:sz w:val="24"/>
          <w:szCs w:val="24"/>
        </w:rPr>
        <w:t xml:space="preserve">.  He summarized these comparisons in a single number which he used to place a given skull in one </w:t>
      </w:r>
      <w:r w:rsidR="00A962C6">
        <w:rPr>
          <w:rFonts w:ascii="Calibri" w:hAnsi="Calibri" w:cs="Calibri"/>
          <w:sz w:val="24"/>
          <w:szCs w:val="24"/>
        </w:rPr>
        <w:t>group</w:t>
      </w:r>
      <w:r>
        <w:rPr>
          <w:rFonts w:ascii="Calibri" w:hAnsi="Calibri" w:cs="Calibri"/>
          <w:sz w:val="24"/>
          <w:szCs w:val="24"/>
        </w:rPr>
        <w:t xml:space="preserve"> versus another </w:t>
      </w:r>
      <w:r w:rsidR="00A962C6">
        <w:rPr>
          <w:rFonts w:ascii="Calibri" w:hAnsi="Calibri" w:cs="Calibri"/>
          <w:sz w:val="24"/>
          <w:szCs w:val="24"/>
        </w:rPr>
        <w:t>group</w:t>
      </w:r>
      <w:r>
        <w:rPr>
          <w:rFonts w:ascii="Calibri" w:hAnsi="Calibri" w:cs="Calibri"/>
          <w:sz w:val="24"/>
          <w:szCs w:val="24"/>
        </w:rPr>
        <w:t xml:space="preserve">.  </w:t>
      </w:r>
    </w:p>
    <w:p w14:paraId="3C00949E" w14:textId="6093118C" w:rsidR="005C0B7F" w:rsidRDefault="00D964F1" w:rsidP="005C0B7F">
      <w:pPr>
        <w:spacing w:line="480" w:lineRule="auto"/>
        <w:ind w:firstLine="720"/>
        <w:rPr>
          <w:rFonts w:ascii="Calibri" w:hAnsi="Calibri" w:cs="Calibri"/>
          <w:sz w:val="24"/>
          <w:szCs w:val="24"/>
        </w:rPr>
      </w:pPr>
      <w:bookmarkStart w:id="0" w:name="_Hlk102387617"/>
      <w:r>
        <w:rPr>
          <w:rFonts w:ascii="Calibri" w:hAnsi="Calibri" w:cs="Calibri"/>
          <w:sz w:val="24"/>
          <w:szCs w:val="24"/>
        </w:rPr>
        <w:lastRenderedPageBreak/>
        <w:t>The Mahalanobis distance has since been applied across many different fields</w:t>
      </w:r>
      <w:r w:rsidR="00005257">
        <w:rPr>
          <w:rFonts w:ascii="Calibri" w:hAnsi="Calibri" w:cs="Calibri"/>
          <w:sz w:val="24"/>
          <w:szCs w:val="24"/>
        </w:rPr>
        <w:t>, including medicine (</w:t>
      </w:r>
      <w:r>
        <w:rPr>
          <w:rFonts w:ascii="Calibri" w:hAnsi="Calibri" w:cs="Calibri"/>
          <w:sz w:val="24"/>
          <w:szCs w:val="24"/>
        </w:rPr>
        <w:t>Su and Li</w:t>
      </w:r>
      <w:r w:rsidR="00005257">
        <w:rPr>
          <w:rFonts w:ascii="Calibri" w:hAnsi="Calibri" w:cs="Calibri"/>
          <w:sz w:val="24"/>
          <w:szCs w:val="24"/>
        </w:rPr>
        <w:t>,</w:t>
      </w:r>
      <w:r w:rsidR="000E03B2">
        <w:rPr>
          <w:rFonts w:ascii="Calibri" w:hAnsi="Calibri" w:cs="Calibri"/>
          <w:sz w:val="24"/>
          <w:szCs w:val="24"/>
        </w:rPr>
        <w:t xml:space="preserve"> </w:t>
      </w:r>
      <w:r>
        <w:rPr>
          <w:rFonts w:ascii="Calibri" w:hAnsi="Calibri" w:cs="Calibri"/>
          <w:sz w:val="24"/>
          <w:szCs w:val="24"/>
        </w:rPr>
        <w:t>2002</w:t>
      </w:r>
      <w:r w:rsidR="002C36DE">
        <w:rPr>
          <w:rFonts w:ascii="Calibri" w:hAnsi="Calibri" w:cs="Calibri"/>
          <w:sz w:val="24"/>
          <w:szCs w:val="24"/>
        </w:rPr>
        <w:t xml:space="preserve">; </w:t>
      </w:r>
      <w:r>
        <w:rPr>
          <w:rFonts w:ascii="Calibri" w:hAnsi="Calibri" w:cs="Calibri"/>
          <w:sz w:val="24"/>
          <w:szCs w:val="24"/>
        </w:rPr>
        <w:t>Wang, Su, Chen, and Chen</w:t>
      </w:r>
      <w:r w:rsidR="00005257">
        <w:rPr>
          <w:rFonts w:ascii="Calibri" w:hAnsi="Calibri" w:cs="Calibri"/>
          <w:sz w:val="24"/>
          <w:szCs w:val="24"/>
        </w:rPr>
        <w:t>,</w:t>
      </w:r>
      <w:r w:rsidR="009D772F">
        <w:rPr>
          <w:rFonts w:ascii="Calibri" w:hAnsi="Calibri" w:cs="Calibri"/>
          <w:sz w:val="24"/>
          <w:szCs w:val="24"/>
        </w:rPr>
        <w:t xml:space="preserve"> </w:t>
      </w:r>
      <w:r>
        <w:rPr>
          <w:rFonts w:ascii="Calibri" w:hAnsi="Calibri" w:cs="Calibri"/>
          <w:sz w:val="24"/>
          <w:szCs w:val="24"/>
        </w:rPr>
        <w:t>2011</w:t>
      </w:r>
      <w:r w:rsidR="002C36DE">
        <w:rPr>
          <w:rFonts w:ascii="Calibri" w:hAnsi="Calibri" w:cs="Calibri"/>
          <w:sz w:val="24"/>
          <w:szCs w:val="24"/>
        </w:rPr>
        <w:t xml:space="preserve">; </w:t>
      </w:r>
      <w:r>
        <w:rPr>
          <w:rFonts w:ascii="Calibri" w:hAnsi="Calibri" w:cs="Calibri"/>
          <w:sz w:val="24"/>
          <w:szCs w:val="24"/>
        </w:rPr>
        <w:t>and Nasief, Rosado-Mendez, Zagzebshi, and Hall</w:t>
      </w:r>
      <w:r w:rsidR="00005257">
        <w:rPr>
          <w:rFonts w:ascii="Calibri" w:hAnsi="Calibri" w:cs="Calibri"/>
          <w:sz w:val="24"/>
          <w:szCs w:val="24"/>
        </w:rPr>
        <w:t xml:space="preserve">, </w:t>
      </w:r>
      <w:r>
        <w:rPr>
          <w:rFonts w:ascii="Calibri" w:hAnsi="Calibri" w:cs="Calibri"/>
          <w:sz w:val="24"/>
          <w:szCs w:val="24"/>
        </w:rPr>
        <w:t>2019)</w:t>
      </w:r>
      <w:r w:rsidR="00005257">
        <w:rPr>
          <w:rFonts w:ascii="Calibri" w:hAnsi="Calibri" w:cs="Calibri"/>
          <w:sz w:val="24"/>
          <w:szCs w:val="24"/>
        </w:rPr>
        <w:t>; engineering (</w:t>
      </w:r>
      <w:r w:rsidR="00177329">
        <w:rPr>
          <w:rFonts w:ascii="Calibri" w:hAnsi="Calibri" w:cs="Calibri"/>
          <w:sz w:val="24"/>
          <w:szCs w:val="24"/>
        </w:rPr>
        <w:t xml:space="preserve">Lin, </w:t>
      </w:r>
      <w:r>
        <w:rPr>
          <w:rFonts w:ascii="Calibri" w:hAnsi="Calibri" w:cs="Calibri"/>
          <w:sz w:val="24"/>
          <w:szCs w:val="24"/>
        </w:rPr>
        <w:t>Khalastchi, and Kaminka, 2010)</w:t>
      </w:r>
      <w:r w:rsidR="00005257">
        <w:rPr>
          <w:rFonts w:ascii="Calibri" w:hAnsi="Calibri" w:cs="Calibri"/>
          <w:sz w:val="24"/>
          <w:szCs w:val="24"/>
        </w:rPr>
        <w:t xml:space="preserve">; </w:t>
      </w:r>
      <w:r>
        <w:rPr>
          <w:rFonts w:ascii="Calibri" w:hAnsi="Calibri" w:cs="Calibri"/>
          <w:sz w:val="24"/>
          <w:szCs w:val="24"/>
        </w:rPr>
        <w:t xml:space="preserve">and </w:t>
      </w:r>
      <w:r w:rsidR="00005257">
        <w:rPr>
          <w:rFonts w:ascii="Calibri" w:hAnsi="Calibri" w:cs="Calibri"/>
          <w:sz w:val="24"/>
          <w:szCs w:val="24"/>
        </w:rPr>
        <w:t>finance</w:t>
      </w:r>
      <w:r>
        <w:rPr>
          <w:rFonts w:ascii="Calibri" w:hAnsi="Calibri" w:cs="Calibri"/>
          <w:sz w:val="24"/>
          <w:szCs w:val="24"/>
        </w:rPr>
        <w:t xml:space="preserve"> </w:t>
      </w:r>
      <w:r w:rsidR="001D2593">
        <w:rPr>
          <w:rFonts w:ascii="Calibri" w:hAnsi="Calibri" w:cs="Calibri"/>
          <w:sz w:val="24"/>
          <w:szCs w:val="24"/>
        </w:rPr>
        <w:t>(Chow, Jacquier, Kritzman, and Lowry, 1999</w:t>
      </w:r>
      <w:r w:rsidR="002C36DE">
        <w:rPr>
          <w:rFonts w:ascii="Calibri" w:hAnsi="Calibri" w:cs="Calibri"/>
          <w:sz w:val="24"/>
          <w:szCs w:val="24"/>
        </w:rPr>
        <w:t xml:space="preserve">; </w:t>
      </w:r>
      <w:r>
        <w:rPr>
          <w:rFonts w:ascii="Calibri" w:hAnsi="Calibri" w:cs="Calibri"/>
          <w:sz w:val="24"/>
          <w:szCs w:val="24"/>
        </w:rPr>
        <w:t>Czasonis, Kritzman, and Turkington, 2020</w:t>
      </w:r>
      <w:r w:rsidR="002C36DE">
        <w:rPr>
          <w:rFonts w:ascii="Calibri" w:hAnsi="Calibri" w:cs="Calibri"/>
          <w:sz w:val="24"/>
          <w:szCs w:val="24"/>
        </w:rPr>
        <w:t xml:space="preserve">; </w:t>
      </w:r>
      <w:r>
        <w:rPr>
          <w:rFonts w:ascii="Calibri" w:hAnsi="Calibri" w:cs="Calibri"/>
          <w:sz w:val="24"/>
          <w:szCs w:val="24"/>
        </w:rPr>
        <w:t>Czasonis, Kritzman, and Turkington, 202</w:t>
      </w:r>
      <w:r w:rsidR="00AC017B">
        <w:rPr>
          <w:rFonts w:ascii="Calibri" w:hAnsi="Calibri" w:cs="Calibri"/>
          <w:sz w:val="24"/>
          <w:szCs w:val="24"/>
        </w:rPr>
        <w:t>1</w:t>
      </w:r>
      <w:r w:rsidR="002C36DE">
        <w:rPr>
          <w:rFonts w:ascii="Calibri" w:hAnsi="Calibri" w:cs="Calibri"/>
          <w:sz w:val="24"/>
          <w:szCs w:val="24"/>
        </w:rPr>
        <w:t xml:space="preserve">; </w:t>
      </w:r>
      <w:r w:rsidR="00005257">
        <w:rPr>
          <w:rFonts w:ascii="Calibri" w:hAnsi="Calibri" w:cs="Calibri"/>
          <w:sz w:val="24"/>
          <w:szCs w:val="24"/>
        </w:rPr>
        <w:t>Kinlaw, Kritzman, and Turkington, 2020</w:t>
      </w:r>
      <w:r w:rsidR="002C36DE">
        <w:rPr>
          <w:rFonts w:ascii="Calibri" w:hAnsi="Calibri" w:cs="Calibri"/>
          <w:sz w:val="24"/>
          <w:szCs w:val="24"/>
        </w:rPr>
        <w:t xml:space="preserve">; </w:t>
      </w:r>
      <w:r w:rsidR="00005257">
        <w:rPr>
          <w:rFonts w:ascii="Calibri" w:hAnsi="Calibri" w:cs="Calibri"/>
          <w:sz w:val="24"/>
          <w:szCs w:val="24"/>
        </w:rPr>
        <w:t>and Czasonis, Kritzman, Pamir, and Turkington</w:t>
      </w:r>
      <w:r w:rsidR="00CC297A">
        <w:rPr>
          <w:rFonts w:ascii="Calibri" w:hAnsi="Calibri" w:cs="Calibri"/>
          <w:sz w:val="24"/>
          <w:szCs w:val="24"/>
        </w:rPr>
        <w:t>, 2020)</w:t>
      </w:r>
      <w:r>
        <w:rPr>
          <w:rFonts w:ascii="Calibri" w:hAnsi="Calibri" w:cs="Calibri"/>
          <w:sz w:val="24"/>
          <w:szCs w:val="24"/>
        </w:rPr>
        <w:t xml:space="preserve">.  </w:t>
      </w:r>
    </w:p>
    <w:bookmarkEnd w:id="0"/>
    <w:p w14:paraId="35CA84A3" w14:textId="69DF4C45" w:rsidR="005C0B7F" w:rsidRDefault="005C0B7F" w:rsidP="005C0B7F">
      <w:pPr>
        <w:spacing w:line="480" w:lineRule="auto"/>
        <w:ind w:firstLine="720"/>
        <w:rPr>
          <w:rFonts w:ascii="Calibri" w:hAnsi="Calibri" w:cs="Calibri"/>
          <w:sz w:val="24"/>
          <w:szCs w:val="24"/>
        </w:rPr>
      </w:pPr>
      <w:r>
        <w:rPr>
          <w:rFonts w:ascii="Calibri" w:hAnsi="Calibri" w:cs="Calibri"/>
          <w:sz w:val="24"/>
          <w:szCs w:val="24"/>
        </w:rPr>
        <w:t>Perhaps the application that is most relevant to our current proposal to record returns in event time is Chow, Jacquier, Kritzman, and Lowry (1999).  They compared a set of asset class returns for a given</w:t>
      </w:r>
      <w:r w:rsidR="00003753">
        <w:rPr>
          <w:rFonts w:ascii="Calibri" w:hAnsi="Calibri" w:cs="Calibri"/>
          <w:sz w:val="24"/>
          <w:szCs w:val="24"/>
        </w:rPr>
        <w:t xml:space="preserve"> time</w:t>
      </w:r>
      <w:r>
        <w:rPr>
          <w:rFonts w:ascii="Calibri" w:hAnsi="Calibri" w:cs="Calibri"/>
          <w:sz w:val="24"/>
          <w:szCs w:val="24"/>
        </w:rPr>
        <w:t xml:space="preserve"> interval to their averages and covariances over a prior history to measure the statistical unusualness of that set of returns as an indication of financial turbulence.  They reasoned that the more unusual were the returns the more likely it was that they were driven by disruptive events instead of noise, and </w:t>
      </w:r>
      <w:r w:rsidR="005D0F2C">
        <w:rPr>
          <w:rFonts w:ascii="Calibri" w:hAnsi="Calibri" w:cs="Calibri"/>
          <w:sz w:val="24"/>
          <w:szCs w:val="24"/>
        </w:rPr>
        <w:t xml:space="preserve">that they were </w:t>
      </w:r>
      <w:r>
        <w:rPr>
          <w:rFonts w:ascii="Calibri" w:hAnsi="Calibri" w:cs="Calibri"/>
          <w:sz w:val="24"/>
          <w:szCs w:val="24"/>
        </w:rPr>
        <w:t>therefore more characteristic of financial turbulence. However, they stopped short of converting calendar time into event time</w:t>
      </w:r>
      <w:r w:rsidR="00CC297A">
        <w:rPr>
          <w:rFonts w:ascii="Calibri" w:hAnsi="Calibri" w:cs="Calibri"/>
          <w:sz w:val="24"/>
          <w:szCs w:val="24"/>
        </w:rPr>
        <w:t xml:space="preserve"> or explicitly relating unusualness to informativeness</w:t>
      </w:r>
      <w:r>
        <w:rPr>
          <w:rFonts w:ascii="Calibri" w:hAnsi="Calibri" w:cs="Calibri"/>
          <w:sz w:val="24"/>
          <w:szCs w:val="24"/>
        </w:rPr>
        <w:t xml:space="preserve">.  </w:t>
      </w:r>
    </w:p>
    <w:p w14:paraId="32BED5D4" w14:textId="5228617D" w:rsidR="00D964F1" w:rsidRDefault="00D964F1" w:rsidP="00D964F1">
      <w:pPr>
        <w:spacing w:line="480" w:lineRule="auto"/>
        <w:ind w:firstLine="720"/>
        <w:rPr>
          <w:rFonts w:ascii="Calibri" w:hAnsi="Calibri" w:cs="Calibri"/>
          <w:sz w:val="24"/>
          <w:szCs w:val="24"/>
        </w:rPr>
      </w:pPr>
      <w:r w:rsidRPr="000C23DB">
        <w:rPr>
          <w:rFonts w:ascii="Calibri" w:hAnsi="Calibri" w:cs="Calibri"/>
          <w:sz w:val="24"/>
          <w:szCs w:val="24"/>
        </w:rPr>
        <w:t>The Mahalanobis distance</w:t>
      </w:r>
      <w:r>
        <w:rPr>
          <w:rFonts w:ascii="Calibri" w:hAnsi="Calibri" w:cs="Calibri"/>
          <w:sz w:val="24"/>
          <w:szCs w:val="24"/>
        </w:rPr>
        <w:t xml:space="preserve">, as </w:t>
      </w:r>
      <w:r w:rsidR="00CC297A">
        <w:rPr>
          <w:rFonts w:ascii="Calibri" w:hAnsi="Calibri" w:cs="Calibri"/>
          <w:sz w:val="24"/>
          <w:szCs w:val="24"/>
        </w:rPr>
        <w:t xml:space="preserve">we apply it to measure </w:t>
      </w:r>
      <w:r w:rsidR="00726E97">
        <w:rPr>
          <w:rFonts w:ascii="Calibri" w:hAnsi="Calibri" w:cs="Calibri"/>
          <w:sz w:val="24"/>
          <w:szCs w:val="24"/>
        </w:rPr>
        <w:t>event intensity</w:t>
      </w:r>
      <w:r>
        <w:rPr>
          <w:rFonts w:ascii="Calibri" w:hAnsi="Calibri" w:cs="Calibri"/>
          <w:sz w:val="24"/>
          <w:szCs w:val="24"/>
        </w:rPr>
        <w:t>,</w:t>
      </w:r>
      <w:r w:rsidRPr="000C23DB">
        <w:rPr>
          <w:rFonts w:ascii="Calibri" w:hAnsi="Calibri" w:cs="Calibri"/>
          <w:sz w:val="24"/>
          <w:szCs w:val="24"/>
        </w:rPr>
        <w:t xml:space="preserve"> is given by Equation 1.</w:t>
      </w:r>
      <w:r>
        <w:rPr>
          <w:rFonts w:ascii="Calibri" w:hAnsi="Calibri" w:cs="Calibri"/>
          <w:sz w:val="24"/>
          <w:szCs w:val="24"/>
        </w:rPr>
        <w:t xml:space="preserve">  </w:t>
      </w:r>
    </w:p>
    <w:p w14:paraId="3BE83488" w14:textId="77777777" w:rsidR="00D964F1" w:rsidRPr="000C23DB" w:rsidRDefault="00D964F1" w:rsidP="00D964F1">
      <w:pPr>
        <w:pStyle w:val="NormalWeb"/>
        <w:spacing w:before="0" w:beforeAutospacing="0" w:after="240" w:afterAutospacing="0"/>
        <w:ind w:left="2880" w:firstLine="720"/>
        <w:rPr>
          <w:rFonts w:ascii="Calibri" w:hAnsi="Calibri" w:cs="Calibri"/>
          <w:iCs/>
          <w:color w:val="000000" w:themeColor="text1"/>
          <w:kern w:val="24"/>
        </w:rPr>
      </w:pPr>
      <m:oMath>
        <m:r>
          <w:rPr>
            <w:rFonts w:ascii="Cambria Math" w:eastAsiaTheme="minorEastAsia" w:hAnsi="Cambria Math" w:cs="Calibri"/>
            <w:color w:val="000000" w:themeColor="text1"/>
            <w:kern w:val="24"/>
          </w:rPr>
          <m:t>d=(x-μ)</m:t>
        </m:r>
        <m:sSup>
          <m:sSupPr>
            <m:ctrlPr>
              <w:rPr>
                <w:rFonts w:ascii="Cambria Math" w:eastAsiaTheme="minorEastAsia" w:hAnsi="Cambria Math" w:cs="Calibri"/>
                <w:i/>
                <w:iCs/>
                <w:color w:val="000000" w:themeColor="text1"/>
                <w:kern w:val="24"/>
              </w:rPr>
            </m:ctrlPr>
          </m:sSupPr>
          <m:e>
            <m:r>
              <m:rPr>
                <m:sty m:val="p"/>
              </m:rPr>
              <w:rPr>
                <w:rFonts w:ascii="Cambria Math" w:eastAsiaTheme="minorEastAsia" w:hAnsi="Cambria Math" w:cs="Calibri"/>
                <w:color w:val="000000" w:themeColor="text1"/>
                <w:kern w:val="24"/>
              </w:rPr>
              <m:t>Σ</m:t>
            </m:r>
          </m:e>
          <m:sup>
            <m:r>
              <w:rPr>
                <w:rFonts w:ascii="Cambria Math" w:eastAsiaTheme="minorEastAsia" w:hAnsi="Cambria Math" w:cs="Calibri"/>
                <w:color w:val="000000" w:themeColor="text1"/>
                <w:kern w:val="24"/>
              </w:rPr>
              <m:t>-1</m:t>
            </m:r>
          </m:sup>
        </m:sSup>
        <m:r>
          <w:rPr>
            <w:rFonts w:ascii="Cambria Math" w:eastAsiaTheme="minorEastAsia" w:hAnsi="Cambria Math" w:cs="Calibri"/>
            <w:color w:val="000000" w:themeColor="text1"/>
            <w:kern w:val="24"/>
          </w:rPr>
          <m:t>(x-μ)'</m:t>
        </m:r>
      </m:oMath>
      <w:r w:rsidRPr="000C23DB">
        <w:rPr>
          <w:rFonts w:ascii="Calibri" w:hAnsi="Calibri" w:cs="Calibri"/>
          <w:iCs/>
          <w:color w:val="000000" w:themeColor="text1"/>
          <w:kern w:val="24"/>
        </w:rPr>
        <w:tab/>
      </w:r>
      <w:r w:rsidRPr="000C23DB">
        <w:rPr>
          <w:rFonts w:ascii="Calibri" w:hAnsi="Calibri" w:cs="Calibri"/>
          <w:iCs/>
          <w:color w:val="000000" w:themeColor="text1"/>
          <w:kern w:val="24"/>
        </w:rPr>
        <w:tab/>
      </w:r>
      <w:r w:rsidRPr="000C23DB">
        <w:rPr>
          <w:rFonts w:ascii="Calibri" w:hAnsi="Calibri" w:cs="Calibri"/>
          <w:iCs/>
          <w:color w:val="000000" w:themeColor="text1"/>
          <w:kern w:val="24"/>
        </w:rPr>
        <w:tab/>
      </w:r>
      <w:r w:rsidRPr="000C23DB">
        <w:rPr>
          <w:rFonts w:ascii="Calibri" w:hAnsi="Calibri" w:cs="Calibri"/>
          <w:iCs/>
          <w:color w:val="000000" w:themeColor="text1"/>
          <w:kern w:val="24"/>
        </w:rPr>
        <w:tab/>
        <w:t>(1)</w:t>
      </w:r>
    </w:p>
    <w:p w14:paraId="563409F7" w14:textId="77777777" w:rsidR="00D964F1" w:rsidRPr="000C23DB" w:rsidRDefault="00D964F1" w:rsidP="00D964F1">
      <w:pPr>
        <w:pStyle w:val="NormalWeb"/>
        <w:spacing w:before="0" w:beforeAutospacing="0" w:after="240" w:afterAutospacing="0"/>
        <w:rPr>
          <w:rFonts w:ascii="Calibri" w:hAnsi="Calibri" w:cs="Calibri"/>
          <w:iCs/>
          <w:color w:val="000000" w:themeColor="text1"/>
          <w:kern w:val="24"/>
        </w:rPr>
      </w:pPr>
    </w:p>
    <w:p w14:paraId="256F2A4A" w14:textId="2A87ED2B" w:rsidR="00D964F1" w:rsidRDefault="00D964F1" w:rsidP="00D964F1">
      <w:pPr>
        <w:pStyle w:val="NormalWeb"/>
        <w:spacing w:before="0" w:beforeAutospacing="0" w:after="240" w:afterAutospacing="0" w:line="480" w:lineRule="auto"/>
        <w:ind w:firstLine="720"/>
        <w:rPr>
          <w:rFonts w:ascii="Calibri" w:hAnsi="Calibri" w:cs="Calibri"/>
          <w:iCs/>
          <w:color w:val="000000" w:themeColor="text1"/>
          <w:kern w:val="24"/>
        </w:rPr>
      </w:pPr>
      <w:r w:rsidRPr="000C23DB">
        <w:rPr>
          <w:rFonts w:ascii="Calibri" w:hAnsi="Calibri" w:cs="Calibri"/>
          <w:iCs/>
          <w:color w:val="000000" w:themeColor="text1"/>
          <w:kern w:val="24"/>
        </w:rPr>
        <w:t>In Equation 1</w:t>
      </w:r>
      <w:r>
        <w:rPr>
          <w:rFonts w:ascii="Calibri" w:hAnsi="Calibri" w:cs="Calibri"/>
          <w:iCs/>
          <w:color w:val="000000" w:themeColor="text1"/>
          <w:kern w:val="24"/>
        </w:rPr>
        <w:t>,</w:t>
      </w:r>
      <w:r w:rsidRPr="000C23DB">
        <w:rPr>
          <w:rFonts w:ascii="Calibri" w:hAnsi="Calibri" w:cs="Calibri"/>
          <w:iCs/>
          <w:color w:val="000000" w:themeColor="text1"/>
          <w:kern w:val="24"/>
        </w:rPr>
        <w:t xml:space="preserve"> </w:t>
      </w:r>
      <m:oMath>
        <m:r>
          <w:rPr>
            <w:rFonts w:ascii="Cambria Math" w:eastAsiaTheme="minorEastAsia" w:hAnsi="Cambria Math" w:cs="Calibri"/>
            <w:color w:val="000000" w:themeColor="text1"/>
            <w:kern w:val="24"/>
          </w:rPr>
          <m:t>d</m:t>
        </m:r>
      </m:oMath>
      <w:r w:rsidRPr="000C23DB">
        <w:rPr>
          <w:rFonts w:ascii="Calibri" w:hAnsi="Calibri" w:cs="Calibri"/>
          <w:iCs/>
          <w:color w:val="000000" w:themeColor="text1"/>
          <w:kern w:val="24"/>
        </w:rPr>
        <w:t xml:space="preserve"> equals the Mahalanobis distance, </w:t>
      </w:r>
      <m:oMath>
        <m:r>
          <w:rPr>
            <w:rFonts w:ascii="Cambria Math" w:eastAsiaTheme="minorEastAsia" w:hAnsi="Cambria Math" w:cs="Calibri"/>
            <w:color w:val="000000" w:themeColor="text1"/>
            <w:kern w:val="24"/>
          </w:rPr>
          <m:t>x</m:t>
        </m:r>
      </m:oMath>
      <w:r w:rsidRPr="000C23DB">
        <w:rPr>
          <w:rFonts w:ascii="Calibri" w:hAnsi="Calibri" w:cs="Calibri"/>
          <w:iCs/>
          <w:color w:val="000000" w:themeColor="text1"/>
          <w:kern w:val="24"/>
        </w:rPr>
        <w:t xml:space="preserve"> equals </w:t>
      </w:r>
      <w:r>
        <w:rPr>
          <w:rFonts w:ascii="Calibri" w:hAnsi="Calibri" w:cs="Calibri"/>
          <w:iCs/>
          <w:color w:val="000000" w:themeColor="text1"/>
          <w:kern w:val="24"/>
        </w:rPr>
        <w:t xml:space="preserve">a row vector of values for </w:t>
      </w:r>
      <w:r w:rsidRPr="000C23DB">
        <w:rPr>
          <w:rFonts w:ascii="Calibri" w:hAnsi="Calibri" w:cs="Calibri"/>
          <w:iCs/>
          <w:color w:val="000000" w:themeColor="text1"/>
          <w:kern w:val="24"/>
        </w:rPr>
        <w:t xml:space="preserve">a set of </w:t>
      </w:r>
      <w:r w:rsidR="00CC297A">
        <w:rPr>
          <w:rFonts w:ascii="Calibri" w:hAnsi="Calibri" w:cs="Calibri"/>
          <w:iCs/>
          <w:color w:val="000000" w:themeColor="text1"/>
          <w:kern w:val="24"/>
        </w:rPr>
        <w:t xml:space="preserve">variables </w:t>
      </w:r>
      <w:r w:rsidRPr="000C23DB">
        <w:rPr>
          <w:rFonts w:ascii="Calibri" w:hAnsi="Calibri" w:cs="Calibri"/>
          <w:iCs/>
          <w:color w:val="000000" w:themeColor="text1"/>
          <w:kern w:val="24"/>
        </w:rPr>
        <w:t>used to characterize</w:t>
      </w:r>
      <w:r w:rsidR="00C4423E">
        <w:rPr>
          <w:rFonts w:ascii="Calibri" w:hAnsi="Calibri" w:cs="Calibri"/>
          <w:iCs/>
          <w:color w:val="000000" w:themeColor="text1"/>
          <w:kern w:val="24"/>
        </w:rPr>
        <w:t xml:space="preserve"> a</w:t>
      </w:r>
      <w:r w:rsidRPr="000C23DB">
        <w:rPr>
          <w:rFonts w:ascii="Calibri" w:hAnsi="Calibri" w:cs="Calibri"/>
          <w:iCs/>
          <w:color w:val="000000" w:themeColor="text1"/>
          <w:kern w:val="24"/>
        </w:rPr>
        <w:t xml:space="preserve"> </w:t>
      </w:r>
      <w:r w:rsidR="00003753">
        <w:rPr>
          <w:rFonts w:ascii="Calibri" w:hAnsi="Calibri" w:cs="Calibri"/>
          <w:iCs/>
          <w:color w:val="000000" w:themeColor="text1"/>
          <w:kern w:val="24"/>
        </w:rPr>
        <w:t xml:space="preserve">given </w:t>
      </w:r>
      <w:r w:rsidR="00CC297A">
        <w:rPr>
          <w:rFonts w:ascii="Calibri" w:hAnsi="Calibri" w:cs="Calibri"/>
          <w:iCs/>
          <w:color w:val="000000" w:themeColor="text1"/>
          <w:kern w:val="24"/>
        </w:rPr>
        <w:t>period</w:t>
      </w:r>
      <w:r w:rsidRPr="000C23DB">
        <w:rPr>
          <w:rFonts w:ascii="Calibri" w:hAnsi="Calibri" w:cs="Calibri"/>
          <w:iCs/>
          <w:color w:val="000000" w:themeColor="text1"/>
          <w:kern w:val="24"/>
        </w:rPr>
        <w:t xml:space="preserve">, </w:t>
      </w:r>
      <m:oMath>
        <m:r>
          <w:rPr>
            <w:rFonts w:ascii="Cambria Math" w:eastAsiaTheme="minorEastAsia" w:hAnsi="Cambria Math" w:cs="Calibri"/>
            <w:color w:val="000000" w:themeColor="text1"/>
            <w:kern w:val="24"/>
          </w:rPr>
          <m:t>μ</m:t>
        </m:r>
      </m:oMath>
      <w:r w:rsidRPr="000C23DB">
        <w:rPr>
          <w:rFonts w:ascii="Calibri" w:hAnsi="Calibri" w:cs="Calibri"/>
          <w:iCs/>
          <w:color w:val="000000" w:themeColor="text1"/>
          <w:kern w:val="24"/>
        </w:rPr>
        <w:t xml:space="preserve"> equals the average values </w:t>
      </w:r>
      <w:r w:rsidR="00722CB3">
        <w:rPr>
          <w:rFonts w:ascii="Calibri" w:hAnsi="Calibri" w:cs="Calibri"/>
          <w:iCs/>
          <w:color w:val="000000" w:themeColor="text1"/>
          <w:kern w:val="24"/>
        </w:rPr>
        <w:t>of the variables measured over a prior window of time</w:t>
      </w:r>
      <w:r w:rsidRPr="000C23DB">
        <w:rPr>
          <w:rFonts w:ascii="Calibri" w:hAnsi="Calibri" w:cs="Calibri"/>
          <w:iCs/>
          <w:color w:val="000000" w:themeColor="text1"/>
          <w:kern w:val="24"/>
        </w:rPr>
        <w:t xml:space="preserve">, </w:t>
      </w:r>
      <m:oMath>
        <m:sSup>
          <m:sSupPr>
            <m:ctrlPr>
              <w:rPr>
                <w:rFonts w:ascii="Cambria Math" w:eastAsiaTheme="minorEastAsia" w:hAnsi="Cambria Math" w:cs="Calibri"/>
                <w:i/>
                <w:iCs/>
                <w:color w:val="000000" w:themeColor="text1"/>
                <w:kern w:val="24"/>
              </w:rPr>
            </m:ctrlPr>
          </m:sSupPr>
          <m:e>
            <m:r>
              <m:rPr>
                <m:sty m:val="p"/>
              </m:rPr>
              <w:rPr>
                <w:rFonts w:ascii="Cambria Math" w:eastAsiaTheme="minorEastAsia" w:hAnsi="Cambria Math" w:cs="Calibri"/>
                <w:color w:val="000000" w:themeColor="text1"/>
                <w:kern w:val="24"/>
              </w:rPr>
              <m:t>Σ</m:t>
            </m:r>
          </m:e>
          <m:sup>
            <m:r>
              <w:rPr>
                <w:rFonts w:ascii="Cambria Math" w:eastAsiaTheme="minorEastAsia" w:hAnsi="Cambria Math" w:cs="Calibri"/>
                <w:color w:val="000000" w:themeColor="text1"/>
                <w:kern w:val="24"/>
              </w:rPr>
              <m:t>-1</m:t>
            </m:r>
          </m:sup>
        </m:sSup>
      </m:oMath>
      <w:r w:rsidRPr="000C23DB">
        <w:rPr>
          <w:rFonts w:ascii="Calibri" w:hAnsi="Calibri" w:cs="Calibri"/>
          <w:iCs/>
          <w:color w:val="000000" w:themeColor="text1"/>
          <w:kern w:val="24"/>
        </w:rPr>
        <w:t xml:space="preserve"> equals the inverse of the covariance matrix of the </w:t>
      </w:r>
      <w:r w:rsidR="00722CB3">
        <w:rPr>
          <w:rFonts w:ascii="Calibri" w:hAnsi="Calibri" w:cs="Calibri"/>
          <w:iCs/>
          <w:color w:val="000000" w:themeColor="text1"/>
          <w:kern w:val="24"/>
        </w:rPr>
        <w:lastRenderedPageBreak/>
        <w:t>variables over the prior window</w:t>
      </w:r>
      <w:r>
        <w:rPr>
          <w:rFonts w:ascii="Calibri" w:hAnsi="Calibri" w:cs="Calibri"/>
          <w:iCs/>
          <w:color w:val="000000" w:themeColor="text1"/>
          <w:kern w:val="24"/>
        </w:rPr>
        <w:t xml:space="preserve">, and </w:t>
      </w:r>
      <m:oMath>
        <m:r>
          <w:rPr>
            <w:rFonts w:ascii="Cambria Math" w:eastAsiaTheme="minorEastAsia" w:hAnsi="Cambria Math" w:cs="Calibri"/>
            <w:color w:val="000000" w:themeColor="text1"/>
            <w:kern w:val="24"/>
          </w:rPr>
          <m:t>'</m:t>
        </m:r>
      </m:oMath>
      <w:r>
        <w:rPr>
          <w:rFonts w:ascii="Calibri" w:hAnsi="Calibri" w:cs="Calibri"/>
          <w:color w:val="000000" w:themeColor="text1"/>
          <w:kern w:val="24"/>
        </w:rPr>
        <w:t xml:space="preserve"> denotes matrix transpose</w:t>
      </w:r>
      <w:r w:rsidRPr="000C23DB">
        <w:rPr>
          <w:rFonts w:ascii="Calibri" w:hAnsi="Calibri" w:cs="Calibri"/>
          <w:iCs/>
          <w:color w:val="000000" w:themeColor="text1"/>
          <w:kern w:val="24"/>
        </w:rPr>
        <w:t xml:space="preserve">.  The term </w:t>
      </w:r>
      <m:oMath>
        <m:d>
          <m:dPr>
            <m:ctrlPr>
              <w:rPr>
                <w:rFonts w:ascii="Cambria Math" w:eastAsiaTheme="minorEastAsia" w:hAnsi="Cambria Math" w:cs="Calibri"/>
                <w:i/>
                <w:iCs/>
                <w:color w:val="000000" w:themeColor="text1"/>
                <w:kern w:val="24"/>
              </w:rPr>
            </m:ctrlPr>
          </m:dPr>
          <m:e>
            <m:r>
              <w:rPr>
                <w:rFonts w:ascii="Cambria Math" w:eastAsiaTheme="minorEastAsia" w:hAnsi="Cambria Math" w:cs="Calibri"/>
                <w:color w:val="000000" w:themeColor="text1"/>
                <w:kern w:val="24"/>
              </w:rPr>
              <m:t>x-μ</m:t>
            </m:r>
          </m:e>
        </m:d>
      </m:oMath>
      <w:r w:rsidRPr="000C23DB">
        <w:rPr>
          <w:rFonts w:ascii="Calibri" w:hAnsi="Calibri" w:cs="Calibri"/>
          <w:iCs/>
          <w:color w:val="000000" w:themeColor="text1"/>
          <w:kern w:val="24"/>
        </w:rPr>
        <w:t xml:space="preserve"> captures how similar each </w:t>
      </w:r>
      <w:r w:rsidR="00722CB3">
        <w:rPr>
          <w:rFonts w:ascii="Calibri" w:hAnsi="Calibri" w:cs="Calibri"/>
          <w:iCs/>
          <w:color w:val="000000" w:themeColor="text1"/>
          <w:kern w:val="24"/>
        </w:rPr>
        <w:t>variable</w:t>
      </w:r>
      <w:r w:rsidRPr="000C23DB">
        <w:rPr>
          <w:rFonts w:ascii="Calibri" w:hAnsi="Calibri" w:cs="Calibri"/>
          <w:iCs/>
          <w:color w:val="000000" w:themeColor="text1"/>
          <w:kern w:val="24"/>
        </w:rPr>
        <w:t xml:space="preserve">, </w:t>
      </w:r>
      <w:r>
        <w:rPr>
          <w:rFonts w:ascii="Calibri" w:hAnsi="Calibri" w:cs="Calibri"/>
          <w:iCs/>
          <w:color w:val="000000" w:themeColor="text1"/>
          <w:kern w:val="24"/>
        </w:rPr>
        <w:t>by itself</w:t>
      </w:r>
      <w:r w:rsidRPr="000C23DB">
        <w:rPr>
          <w:rFonts w:ascii="Calibri" w:hAnsi="Calibri" w:cs="Calibri"/>
          <w:iCs/>
          <w:color w:val="000000" w:themeColor="text1"/>
          <w:kern w:val="24"/>
        </w:rPr>
        <w:t xml:space="preserve">, is to the average values.  By multiplying </w:t>
      </w:r>
      <m:oMath>
        <m:r>
          <w:rPr>
            <w:rFonts w:ascii="Cambria Math" w:eastAsiaTheme="minorEastAsia" w:hAnsi="Cambria Math" w:cs="Calibri"/>
            <w:color w:val="000000" w:themeColor="text1"/>
            <w:kern w:val="24"/>
          </w:rPr>
          <m:t>(x-μ)</m:t>
        </m:r>
      </m:oMath>
      <w:r w:rsidRPr="000C23DB">
        <w:rPr>
          <w:rFonts w:ascii="Calibri" w:hAnsi="Calibri" w:cs="Calibri"/>
          <w:iCs/>
          <w:color w:val="000000" w:themeColor="text1"/>
          <w:kern w:val="24"/>
        </w:rPr>
        <w:t xml:space="preserve"> by the inverse of the covariance matrix, </w:t>
      </w:r>
      <w:r w:rsidR="00722CB3">
        <w:rPr>
          <w:rFonts w:ascii="Calibri" w:hAnsi="Calibri" w:cs="Calibri"/>
          <w:iCs/>
          <w:color w:val="000000" w:themeColor="text1"/>
          <w:kern w:val="24"/>
        </w:rPr>
        <w:t>the formula</w:t>
      </w:r>
      <w:r w:rsidRPr="000C23DB">
        <w:rPr>
          <w:rFonts w:ascii="Calibri" w:hAnsi="Calibri" w:cs="Calibri"/>
          <w:iCs/>
          <w:color w:val="000000" w:themeColor="text1"/>
          <w:kern w:val="24"/>
        </w:rPr>
        <w:t xml:space="preserve"> captures how similar the co-occurrence of the </w:t>
      </w:r>
      <w:r w:rsidR="00722CB3">
        <w:rPr>
          <w:rFonts w:ascii="Calibri" w:hAnsi="Calibri" w:cs="Calibri"/>
          <w:iCs/>
          <w:color w:val="000000" w:themeColor="text1"/>
          <w:kern w:val="24"/>
        </w:rPr>
        <w:t>variables</w:t>
      </w:r>
      <w:r w:rsidRPr="000C23DB">
        <w:rPr>
          <w:rFonts w:ascii="Calibri" w:hAnsi="Calibri" w:cs="Calibri"/>
          <w:iCs/>
          <w:color w:val="000000" w:themeColor="text1"/>
          <w:kern w:val="24"/>
        </w:rPr>
        <w:t xml:space="preserve"> is to their co-occurrence </w:t>
      </w:r>
      <w:r w:rsidR="00722CB3">
        <w:rPr>
          <w:rFonts w:ascii="Calibri" w:hAnsi="Calibri" w:cs="Calibri"/>
          <w:iCs/>
          <w:color w:val="000000" w:themeColor="text1"/>
          <w:kern w:val="24"/>
        </w:rPr>
        <w:t>over the prior window</w:t>
      </w:r>
      <w:r w:rsidRPr="000C23DB">
        <w:rPr>
          <w:rFonts w:ascii="Calibri" w:hAnsi="Calibri" w:cs="Calibri"/>
          <w:iCs/>
          <w:color w:val="000000" w:themeColor="text1"/>
          <w:kern w:val="24"/>
        </w:rPr>
        <w:t xml:space="preserve">.  This multiplication also converts the variables into common units.  </w:t>
      </w:r>
      <w:r w:rsidR="00722CB3">
        <w:rPr>
          <w:rFonts w:ascii="Calibri" w:hAnsi="Calibri" w:cs="Calibri"/>
          <w:iCs/>
          <w:color w:val="000000" w:themeColor="text1"/>
          <w:kern w:val="24"/>
        </w:rPr>
        <w:t xml:space="preserve">This </w:t>
      </w:r>
      <w:r w:rsidRPr="000C23DB">
        <w:rPr>
          <w:rFonts w:ascii="Calibri" w:hAnsi="Calibri" w:cs="Calibri"/>
          <w:iCs/>
          <w:color w:val="000000" w:themeColor="text1"/>
          <w:kern w:val="24"/>
        </w:rPr>
        <w:t xml:space="preserve">feature is very handy because some of the variables </w:t>
      </w:r>
      <w:r w:rsidR="00722CB3">
        <w:rPr>
          <w:rFonts w:ascii="Calibri" w:hAnsi="Calibri" w:cs="Calibri"/>
          <w:iCs/>
          <w:color w:val="000000" w:themeColor="text1"/>
          <w:kern w:val="24"/>
        </w:rPr>
        <w:t>might be</w:t>
      </w:r>
      <w:r w:rsidRPr="000C23DB">
        <w:rPr>
          <w:rFonts w:ascii="Calibri" w:hAnsi="Calibri" w:cs="Calibri"/>
          <w:iCs/>
          <w:color w:val="000000" w:themeColor="text1"/>
          <w:kern w:val="24"/>
        </w:rPr>
        <w:t xml:space="preserve"> measured as percentage changes whereas others </w:t>
      </w:r>
      <w:r w:rsidR="00722CB3">
        <w:rPr>
          <w:rFonts w:ascii="Calibri" w:hAnsi="Calibri" w:cs="Calibri"/>
          <w:iCs/>
          <w:color w:val="000000" w:themeColor="text1"/>
          <w:kern w:val="24"/>
        </w:rPr>
        <w:t xml:space="preserve">might be measured </w:t>
      </w:r>
      <w:r w:rsidRPr="000C23DB">
        <w:rPr>
          <w:rFonts w:ascii="Calibri" w:hAnsi="Calibri" w:cs="Calibri"/>
          <w:iCs/>
          <w:color w:val="000000" w:themeColor="text1"/>
          <w:kern w:val="24"/>
        </w:rPr>
        <w:t>as levels.</w:t>
      </w:r>
    </w:p>
    <w:p w14:paraId="4C20C6F7" w14:textId="74EE2370" w:rsidR="00C4423E" w:rsidRDefault="00C4423E" w:rsidP="00D964F1">
      <w:pPr>
        <w:pStyle w:val="NormalWeb"/>
        <w:spacing w:before="0" w:beforeAutospacing="0" w:after="240" w:afterAutospacing="0" w:line="480" w:lineRule="auto"/>
        <w:ind w:firstLine="720"/>
        <w:rPr>
          <w:rFonts w:ascii="Calibri" w:hAnsi="Calibri" w:cs="Calibri"/>
          <w:iCs/>
          <w:color w:val="000000" w:themeColor="text1"/>
          <w:kern w:val="24"/>
        </w:rPr>
      </w:pPr>
      <w:r>
        <w:rPr>
          <w:rFonts w:ascii="Calibri" w:hAnsi="Calibri" w:cs="Calibri"/>
          <w:iCs/>
          <w:color w:val="000000" w:themeColor="text1"/>
          <w:kern w:val="24"/>
        </w:rPr>
        <w:t xml:space="preserve">Exhibit </w:t>
      </w:r>
      <w:r w:rsidR="006268E1">
        <w:rPr>
          <w:rFonts w:ascii="Calibri" w:hAnsi="Calibri" w:cs="Calibri"/>
          <w:iCs/>
          <w:color w:val="000000" w:themeColor="text1"/>
          <w:kern w:val="24"/>
        </w:rPr>
        <w:t>2</w:t>
      </w:r>
      <w:r>
        <w:rPr>
          <w:rFonts w:ascii="Calibri" w:hAnsi="Calibri" w:cs="Calibri"/>
          <w:iCs/>
          <w:color w:val="000000" w:themeColor="text1"/>
          <w:kern w:val="24"/>
        </w:rPr>
        <w:t xml:space="preserve"> helps us to visualize the Mahalanobis distance.</w:t>
      </w:r>
    </w:p>
    <w:p w14:paraId="757ACAE9" w14:textId="32EA5F5E" w:rsidR="00722CB3" w:rsidRPr="00B4232E" w:rsidRDefault="00722CB3" w:rsidP="00722CB3">
      <w:pPr>
        <w:spacing w:line="480" w:lineRule="auto"/>
        <w:jc w:val="center"/>
        <w:rPr>
          <w:sz w:val="24"/>
          <w:szCs w:val="24"/>
        </w:rPr>
      </w:pPr>
      <w:r w:rsidRPr="00B4232E">
        <w:rPr>
          <w:sz w:val="24"/>
          <w:szCs w:val="24"/>
        </w:rPr>
        <w:t xml:space="preserve">Exhibit </w:t>
      </w:r>
      <w:r w:rsidR="008B6B51">
        <w:rPr>
          <w:sz w:val="24"/>
          <w:szCs w:val="24"/>
        </w:rPr>
        <w:t>2</w:t>
      </w:r>
      <w:r w:rsidRPr="00B4232E">
        <w:rPr>
          <w:sz w:val="24"/>
          <w:szCs w:val="24"/>
        </w:rPr>
        <w:t>: Scatter Plot of Two Hypothetical Variables</w:t>
      </w:r>
    </w:p>
    <w:p w14:paraId="02C73579" w14:textId="77777777" w:rsidR="00722CB3" w:rsidRPr="00B4232E" w:rsidRDefault="00722CB3" w:rsidP="00722CB3">
      <w:pPr>
        <w:spacing w:line="480" w:lineRule="auto"/>
        <w:jc w:val="center"/>
        <w:rPr>
          <w:sz w:val="24"/>
          <w:szCs w:val="24"/>
        </w:rPr>
      </w:pPr>
      <w:r w:rsidRPr="00B4232E">
        <w:rPr>
          <w:noProof/>
          <w:sz w:val="24"/>
          <w:szCs w:val="24"/>
        </w:rPr>
        <w:drawing>
          <wp:inline distT="0" distB="0" distL="0" distR="0" wp14:anchorId="043B0579" wp14:editId="674DA83B">
            <wp:extent cx="4238625" cy="3305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38625" cy="3305175"/>
                    </a:xfrm>
                    <a:prstGeom prst="rect">
                      <a:avLst/>
                    </a:prstGeom>
                    <a:noFill/>
                    <a:ln>
                      <a:noFill/>
                    </a:ln>
                  </pic:spPr>
                </pic:pic>
              </a:graphicData>
            </a:graphic>
          </wp:inline>
        </w:drawing>
      </w:r>
    </w:p>
    <w:p w14:paraId="32BE1EDB" w14:textId="0515078C" w:rsidR="009E2EE8" w:rsidRDefault="00722CB3" w:rsidP="00722CB3">
      <w:pPr>
        <w:spacing w:line="480" w:lineRule="auto"/>
        <w:ind w:firstLine="720"/>
        <w:rPr>
          <w:sz w:val="24"/>
          <w:szCs w:val="24"/>
        </w:rPr>
      </w:pPr>
      <w:r w:rsidRPr="00B4232E">
        <w:rPr>
          <w:sz w:val="24"/>
          <w:szCs w:val="24"/>
        </w:rPr>
        <w:t xml:space="preserve">In Exhibit </w:t>
      </w:r>
      <w:r w:rsidR="006268E1">
        <w:rPr>
          <w:sz w:val="24"/>
          <w:szCs w:val="24"/>
        </w:rPr>
        <w:t>2</w:t>
      </w:r>
      <w:r w:rsidRPr="00B4232E">
        <w:rPr>
          <w:sz w:val="24"/>
          <w:szCs w:val="24"/>
        </w:rPr>
        <w:t xml:space="preserve"> each dot represents the joint values of </w:t>
      </w:r>
      <w:r w:rsidR="00C4423E">
        <w:rPr>
          <w:sz w:val="24"/>
          <w:szCs w:val="24"/>
        </w:rPr>
        <w:t>two</w:t>
      </w:r>
      <w:r w:rsidRPr="00B4232E">
        <w:rPr>
          <w:sz w:val="24"/>
          <w:szCs w:val="24"/>
        </w:rPr>
        <w:t xml:space="preserve"> variables for a given observation.  The center of the ellipse represents the </w:t>
      </w:r>
      <w:r w:rsidR="009D772F">
        <w:rPr>
          <w:sz w:val="24"/>
          <w:szCs w:val="24"/>
        </w:rPr>
        <w:t>average</w:t>
      </w:r>
      <w:r w:rsidRPr="00B4232E">
        <w:rPr>
          <w:sz w:val="24"/>
          <w:szCs w:val="24"/>
        </w:rPr>
        <w:t xml:space="preserve"> values of the two variables.  The observations within the ellipse represent reasonably </w:t>
      </w:r>
      <w:r w:rsidR="009E2EE8">
        <w:rPr>
          <w:sz w:val="24"/>
          <w:szCs w:val="24"/>
        </w:rPr>
        <w:t>common</w:t>
      </w:r>
      <w:r w:rsidRPr="00B4232E">
        <w:rPr>
          <w:sz w:val="24"/>
          <w:szCs w:val="24"/>
        </w:rPr>
        <w:t xml:space="preserve"> </w:t>
      </w:r>
      <w:r w:rsidR="00003753" w:rsidRPr="00B4232E">
        <w:rPr>
          <w:sz w:val="24"/>
          <w:szCs w:val="24"/>
        </w:rPr>
        <w:t>combinations because</w:t>
      </w:r>
      <w:r w:rsidRPr="00B4232E">
        <w:rPr>
          <w:sz w:val="24"/>
          <w:szCs w:val="24"/>
        </w:rPr>
        <w:t xml:space="preserve"> the observations are </w:t>
      </w:r>
      <w:r w:rsidRPr="00B4232E">
        <w:rPr>
          <w:sz w:val="24"/>
          <w:szCs w:val="24"/>
        </w:rPr>
        <w:lastRenderedPageBreak/>
        <w:t xml:space="preserve">not particularly distant from the </w:t>
      </w:r>
      <w:r w:rsidR="009D772F">
        <w:rPr>
          <w:sz w:val="24"/>
          <w:szCs w:val="24"/>
        </w:rPr>
        <w:t>average</w:t>
      </w:r>
      <w:r w:rsidRPr="00B4232E">
        <w:rPr>
          <w:sz w:val="24"/>
          <w:szCs w:val="24"/>
        </w:rPr>
        <w:t xml:space="preserve"> values.  The observations outside the ellipse are statistically unusual and therefore likely to </w:t>
      </w:r>
      <w:r w:rsidR="009E2EE8">
        <w:rPr>
          <w:sz w:val="24"/>
          <w:szCs w:val="24"/>
        </w:rPr>
        <w:t>be driven by events</w:t>
      </w:r>
      <w:r w:rsidRPr="00B4232E">
        <w:rPr>
          <w:sz w:val="24"/>
          <w:szCs w:val="24"/>
        </w:rPr>
        <w:t>.</w:t>
      </w:r>
      <w:r w:rsidR="009E2EE8">
        <w:rPr>
          <w:sz w:val="24"/>
          <w:szCs w:val="24"/>
        </w:rPr>
        <w:t xml:space="preserve">  And, according to information theory, they are also more informative.</w:t>
      </w:r>
    </w:p>
    <w:p w14:paraId="2F5B1AEE" w14:textId="12CF379D" w:rsidR="00722CB3" w:rsidRPr="00B4232E" w:rsidRDefault="00722CB3" w:rsidP="00722CB3">
      <w:pPr>
        <w:spacing w:line="480" w:lineRule="auto"/>
        <w:ind w:firstLine="720"/>
        <w:rPr>
          <w:sz w:val="24"/>
          <w:szCs w:val="24"/>
        </w:rPr>
      </w:pPr>
      <w:r w:rsidRPr="00B4232E">
        <w:rPr>
          <w:sz w:val="24"/>
          <w:szCs w:val="24"/>
        </w:rPr>
        <w:t xml:space="preserve">Note that </w:t>
      </w:r>
      <w:r w:rsidR="009E2EE8">
        <w:rPr>
          <w:sz w:val="24"/>
          <w:szCs w:val="24"/>
        </w:rPr>
        <w:t>observations</w:t>
      </w:r>
      <w:r w:rsidRPr="00B4232E">
        <w:rPr>
          <w:sz w:val="24"/>
          <w:szCs w:val="24"/>
        </w:rPr>
        <w:t xml:space="preserve"> just outside the narrow part of the ellipse are closer to the ellipse’s center than some </w:t>
      </w:r>
      <w:r w:rsidR="009E2EE8">
        <w:rPr>
          <w:sz w:val="24"/>
          <w:szCs w:val="24"/>
        </w:rPr>
        <w:t>observations</w:t>
      </w:r>
      <w:r w:rsidRPr="00B4232E">
        <w:rPr>
          <w:sz w:val="24"/>
          <w:szCs w:val="24"/>
        </w:rPr>
        <w:t xml:space="preserve"> within the ellipse at either end.  This illustrates the notion that some observations qualify as unusual not because one or more of the values </w:t>
      </w:r>
      <w:r w:rsidR="00F609E0">
        <w:rPr>
          <w:sz w:val="24"/>
          <w:szCs w:val="24"/>
        </w:rPr>
        <w:t>i</w:t>
      </w:r>
      <w:r w:rsidRPr="00B4232E">
        <w:rPr>
          <w:sz w:val="24"/>
          <w:szCs w:val="24"/>
        </w:rPr>
        <w:t xml:space="preserve">s unusually distant from the </w:t>
      </w:r>
      <w:r w:rsidR="009E2EE8">
        <w:rPr>
          <w:sz w:val="24"/>
          <w:szCs w:val="24"/>
        </w:rPr>
        <w:t>average</w:t>
      </w:r>
      <w:r w:rsidRPr="00B4232E">
        <w:rPr>
          <w:sz w:val="24"/>
          <w:szCs w:val="24"/>
        </w:rPr>
        <w:t xml:space="preserve"> value</w:t>
      </w:r>
      <w:r w:rsidR="001D2593">
        <w:rPr>
          <w:sz w:val="24"/>
          <w:szCs w:val="24"/>
        </w:rPr>
        <w:t xml:space="preserve"> (in Euclidean units)</w:t>
      </w:r>
      <w:r w:rsidRPr="00B4232E">
        <w:rPr>
          <w:sz w:val="24"/>
          <w:szCs w:val="24"/>
        </w:rPr>
        <w:t xml:space="preserve">, but instead because the values </w:t>
      </w:r>
      <w:r w:rsidR="00093BD2">
        <w:rPr>
          <w:sz w:val="24"/>
          <w:szCs w:val="24"/>
        </w:rPr>
        <w:t>have opposite signs relative to the average</w:t>
      </w:r>
      <w:r w:rsidRPr="00B4232E">
        <w:rPr>
          <w:sz w:val="24"/>
          <w:szCs w:val="24"/>
        </w:rPr>
        <w:t xml:space="preserve"> </w:t>
      </w:r>
      <w:r w:rsidR="00C4423E" w:rsidRPr="00B4232E">
        <w:rPr>
          <w:sz w:val="24"/>
          <w:szCs w:val="24"/>
        </w:rPr>
        <w:t>even though</w:t>
      </w:r>
      <w:r w:rsidRPr="00B4232E">
        <w:rPr>
          <w:sz w:val="24"/>
          <w:szCs w:val="24"/>
        </w:rPr>
        <w:t xml:space="preserve"> these two variables are positively correlated, as evidenced by the positive slope of the scatter plot. </w:t>
      </w:r>
      <w:r w:rsidR="009F4E3D">
        <w:rPr>
          <w:sz w:val="24"/>
          <w:szCs w:val="24"/>
        </w:rPr>
        <w:t xml:space="preserve"> Unusualness as measured by the Mahalanobis distance provides a proper measure of multivariate informativeness.  </w:t>
      </w:r>
    </w:p>
    <w:p w14:paraId="3C919E8B" w14:textId="65FF16A8" w:rsidR="00B117FF" w:rsidRDefault="00DF4D15" w:rsidP="006268E1">
      <w:pPr>
        <w:spacing w:line="480" w:lineRule="auto"/>
        <w:ind w:firstLine="720"/>
        <w:rPr>
          <w:rFonts w:eastAsiaTheme="minorEastAsia"/>
          <w:color w:val="000000" w:themeColor="text1"/>
          <w:kern w:val="24"/>
          <w:sz w:val="24"/>
          <w:szCs w:val="24"/>
        </w:rPr>
      </w:pPr>
      <w:r>
        <w:rPr>
          <w:sz w:val="24"/>
          <w:szCs w:val="24"/>
        </w:rPr>
        <w:t xml:space="preserve">This description of the Mahalanobis distance assumes that we fix the time interval of the observations to yield </w:t>
      </w:r>
      <w:r w:rsidR="00A50159">
        <w:rPr>
          <w:sz w:val="24"/>
          <w:szCs w:val="24"/>
        </w:rPr>
        <w:t>various</w:t>
      </w:r>
      <w:r>
        <w:rPr>
          <w:sz w:val="24"/>
          <w:szCs w:val="24"/>
        </w:rPr>
        <w:t xml:space="preserve"> distances.  To convert calendar time to event time, we instead fix a threshold for the Mahalanobis distance and </w:t>
      </w:r>
      <w:r w:rsidR="001A0EDE">
        <w:rPr>
          <w:sz w:val="24"/>
          <w:szCs w:val="24"/>
        </w:rPr>
        <w:t xml:space="preserve">compute the Mahalanobis distance for small successive </w:t>
      </w:r>
      <w:r w:rsidR="00FC415C">
        <w:rPr>
          <w:sz w:val="24"/>
          <w:szCs w:val="24"/>
        </w:rPr>
        <w:t>intervals</w:t>
      </w:r>
      <w:r w:rsidR="001A0EDE">
        <w:rPr>
          <w:sz w:val="24"/>
          <w:szCs w:val="24"/>
        </w:rPr>
        <w:t xml:space="preserve"> of time until the sum of the Mahalanobis distances </w:t>
      </w:r>
      <w:r w:rsidR="00FC415C">
        <w:rPr>
          <w:sz w:val="24"/>
          <w:szCs w:val="24"/>
        </w:rPr>
        <w:t xml:space="preserve">computed over these small intervals </w:t>
      </w:r>
      <w:r w:rsidR="00F609E0">
        <w:rPr>
          <w:rFonts w:eastAsiaTheme="minorEastAsia"/>
          <w:color w:val="000000" w:themeColor="text1"/>
          <w:kern w:val="24"/>
          <w:sz w:val="24"/>
          <w:szCs w:val="24"/>
        </w:rPr>
        <w:t xml:space="preserve">reaches our threshold for </w:t>
      </w:r>
      <w:r w:rsidR="00726E97">
        <w:rPr>
          <w:rFonts w:eastAsiaTheme="minorEastAsia"/>
          <w:color w:val="000000" w:themeColor="text1"/>
          <w:kern w:val="24"/>
          <w:sz w:val="24"/>
          <w:szCs w:val="24"/>
        </w:rPr>
        <w:t>event intensity</w:t>
      </w:r>
      <w:r w:rsidR="00507C3E">
        <w:rPr>
          <w:rFonts w:eastAsiaTheme="minorEastAsia"/>
          <w:color w:val="000000" w:themeColor="text1"/>
          <w:kern w:val="24"/>
          <w:sz w:val="24"/>
          <w:szCs w:val="24"/>
        </w:rPr>
        <w:t xml:space="preserve">, </w:t>
      </w:r>
      <w:r w:rsidR="00CA29AC">
        <w:rPr>
          <w:rFonts w:eastAsiaTheme="minorEastAsia"/>
          <w:color w:val="000000" w:themeColor="text1"/>
          <w:kern w:val="24"/>
          <w:sz w:val="24"/>
          <w:szCs w:val="24"/>
        </w:rPr>
        <w:t xml:space="preserve">at </w:t>
      </w:r>
      <w:r w:rsidR="00507C3E">
        <w:rPr>
          <w:rFonts w:eastAsiaTheme="minorEastAsia"/>
          <w:color w:val="000000" w:themeColor="text1"/>
          <w:kern w:val="24"/>
          <w:sz w:val="24"/>
          <w:szCs w:val="24"/>
        </w:rPr>
        <w:t>which point we record one unit of event time.</w:t>
      </w:r>
      <w:r w:rsidR="00F609E0">
        <w:rPr>
          <w:rFonts w:eastAsiaTheme="minorEastAsia"/>
          <w:color w:val="000000" w:themeColor="text1"/>
          <w:kern w:val="24"/>
          <w:sz w:val="24"/>
          <w:szCs w:val="24"/>
        </w:rPr>
        <w:t xml:space="preserve">  We then proceed from the end of the first event period and compute the Mahalanobis distance of the variables over new </w:t>
      </w:r>
      <w:r w:rsidR="001A0EDE">
        <w:rPr>
          <w:rFonts w:eastAsiaTheme="minorEastAsia"/>
          <w:color w:val="000000" w:themeColor="text1"/>
          <w:kern w:val="24"/>
          <w:sz w:val="24"/>
          <w:szCs w:val="24"/>
        </w:rPr>
        <w:t xml:space="preserve">successive </w:t>
      </w:r>
      <w:r w:rsidR="00FC415C">
        <w:rPr>
          <w:rFonts w:eastAsiaTheme="minorEastAsia"/>
          <w:color w:val="000000" w:themeColor="text1"/>
          <w:kern w:val="24"/>
          <w:sz w:val="24"/>
          <w:szCs w:val="24"/>
        </w:rPr>
        <w:t>intervals</w:t>
      </w:r>
      <w:r w:rsidR="001A0EDE">
        <w:rPr>
          <w:rFonts w:eastAsiaTheme="minorEastAsia"/>
          <w:color w:val="000000" w:themeColor="text1"/>
          <w:kern w:val="24"/>
          <w:sz w:val="24"/>
          <w:szCs w:val="24"/>
        </w:rPr>
        <w:t xml:space="preserve"> </w:t>
      </w:r>
      <w:r w:rsidR="00F609E0">
        <w:rPr>
          <w:rFonts w:eastAsiaTheme="minorEastAsia"/>
          <w:color w:val="000000" w:themeColor="text1"/>
          <w:kern w:val="24"/>
          <w:sz w:val="24"/>
          <w:szCs w:val="24"/>
        </w:rPr>
        <w:t xml:space="preserve">until we again reach the </w:t>
      </w:r>
      <w:r w:rsidR="00726E97">
        <w:rPr>
          <w:rFonts w:eastAsiaTheme="minorEastAsia"/>
          <w:color w:val="000000" w:themeColor="text1"/>
          <w:kern w:val="24"/>
          <w:sz w:val="24"/>
          <w:szCs w:val="24"/>
        </w:rPr>
        <w:t>event intensity</w:t>
      </w:r>
      <w:r w:rsidR="00F609E0">
        <w:rPr>
          <w:rFonts w:eastAsiaTheme="minorEastAsia"/>
          <w:color w:val="000000" w:themeColor="text1"/>
          <w:kern w:val="24"/>
          <w:sz w:val="24"/>
          <w:szCs w:val="24"/>
        </w:rPr>
        <w:t xml:space="preserve"> threshold.  We proceed through time until </w:t>
      </w:r>
      <w:r w:rsidR="00FC415C">
        <w:rPr>
          <w:rFonts w:eastAsiaTheme="minorEastAsia"/>
          <w:color w:val="000000" w:themeColor="text1"/>
          <w:kern w:val="24"/>
          <w:sz w:val="24"/>
          <w:szCs w:val="24"/>
        </w:rPr>
        <w:t>we have accounted for all the small intervals in our sample.</w:t>
      </w:r>
      <w:r w:rsidR="00B117FF">
        <w:rPr>
          <w:rFonts w:eastAsiaTheme="minorEastAsia"/>
          <w:color w:val="000000" w:themeColor="text1"/>
          <w:kern w:val="24"/>
          <w:sz w:val="24"/>
          <w:szCs w:val="24"/>
        </w:rPr>
        <w:t xml:space="preserve">  </w:t>
      </w:r>
    </w:p>
    <w:p w14:paraId="42040376" w14:textId="72C42A03" w:rsidR="007C4E78" w:rsidRDefault="00760BD4" w:rsidP="00DF4D15">
      <w:pPr>
        <w:spacing w:line="480" w:lineRule="auto"/>
        <w:ind w:firstLine="720"/>
        <w:rPr>
          <w:rFonts w:eastAsiaTheme="minorEastAsia"/>
          <w:color w:val="000000" w:themeColor="text1"/>
          <w:kern w:val="24"/>
          <w:sz w:val="24"/>
          <w:szCs w:val="24"/>
        </w:rPr>
      </w:pPr>
      <w:r>
        <w:rPr>
          <w:rFonts w:eastAsiaTheme="minorEastAsia"/>
          <w:color w:val="000000" w:themeColor="text1"/>
          <w:kern w:val="24"/>
          <w:sz w:val="24"/>
          <w:szCs w:val="24"/>
        </w:rPr>
        <w:t xml:space="preserve">Exhibit </w:t>
      </w:r>
      <w:r w:rsidR="006268E1">
        <w:rPr>
          <w:rFonts w:eastAsiaTheme="minorEastAsia"/>
          <w:color w:val="000000" w:themeColor="text1"/>
          <w:kern w:val="24"/>
          <w:sz w:val="24"/>
          <w:szCs w:val="24"/>
        </w:rPr>
        <w:t>3</w:t>
      </w:r>
      <w:r>
        <w:rPr>
          <w:rFonts w:eastAsiaTheme="minorEastAsia"/>
          <w:color w:val="000000" w:themeColor="text1"/>
          <w:kern w:val="24"/>
          <w:sz w:val="24"/>
          <w:szCs w:val="24"/>
        </w:rPr>
        <w:t xml:space="preserve"> helps us to visualize this process.</w:t>
      </w:r>
    </w:p>
    <w:p w14:paraId="679EC492" w14:textId="77777777" w:rsidR="001D2593" w:rsidRDefault="001D2593" w:rsidP="006326F9">
      <w:pPr>
        <w:spacing w:line="480" w:lineRule="auto"/>
        <w:jc w:val="center"/>
        <w:rPr>
          <w:rFonts w:eastAsiaTheme="minorEastAsia"/>
          <w:color w:val="000000" w:themeColor="text1"/>
          <w:kern w:val="24"/>
          <w:sz w:val="24"/>
          <w:szCs w:val="24"/>
        </w:rPr>
      </w:pPr>
    </w:p>
    <w:p w14:paraId="64C04865" w14:textId="32533895" w:rsidR="006326F9" w:rsidRDefault="004711BA" w:rsidP="006326F9">
      <w:pPr>
        <w:spacing w:line="480" w:lineRule="auto"/>
        <w:jc w:val="center"/>
        <w:rPr>
          <w:rFonts w:eastAsiaTheme="minorEastAsia"/>
          <w:color w:val="000000" w:themeColor="text1"/>
          <w:kern w:val="24"/>
          <w:sz w:val="24"/>
          <w:szCs w:val="24"/>
        </w:rPr>
      </w:pPr>
      <w:r>
        <w:rPr>
          <w:rFonts w:eastAsiaTheme="minorEastAsia"/>
          <w:color w:val="000000" w:themeColor="text1"/>
          <w:kern w:val="24"/>
          <w:sz w:val="24"/>
          <w:szCs w:val="24"/>
        </w:rPr>
        <w:lastRenderedPageBreak/>
        <w:t xml:space="preserve">Exhibit </w:t>
      </w:r>
      <w:r w:rsidR="006268E1">
        <w:rPr>
          <w:rFonts w:eastAsiaTheme="minorEastAsia"/>
          <w:color w:val="000000" w:themeColor="text1"/>
          <w:kern w:val="24"/>
          <w:sz w:val="24"/>
          <w:szCs w:val="24"/>
        </w:rPr>
        <w:t>3</w:t>
      </w:r>
      <w:r>
        <w:rPr>
          <w:rFonts w:eastAsiaTheme="minorEastAsia"/>
          <w:color w:val="000000" w:themeColor="text1"/>
          <w:kern w:val="24"/>
          <w:sz w:val="24"/>
          <w:szCs w:val="24"/>
        </w:rPr>
        <w:t>: Conversion of Calendar Time to Event Time</w:t>
      </w:r>
    </w:p>
    <w:p w14:paraId="5BAB29F2" w14:textId="6B549026" w:rsidR="004711BA" w:rsidRDefault="0022274E" w:rsidP="006326F9">
      <w:pPr>
        <w:spacing w:line="480" w:lineRule="auto"/>
        <w:jc w:val="center"/>
        <w:rPr>
          <w:rFonts w:eastAsiaTheme="minorEastAsia"/>
          <w:color w:val="000000" w:themeColor="text1"/>
          <w:kern w:val="24"/>
          <w:sz w:val="24"/>
          <w:szCs w:val="24"/>
        </w:rPr>
      </w:pPr>
      <w:r w:rsidRPr="0022274E">
        <w:rPr>
          <w:noProof/>
        </w:rPr>
        <w:drawing>
          <wp:inline distT="0" distB="0" distL="0" distR="0" wp14:anchorId="2BA390A9" wp14:editId="410EF17A">
            <wp:extent cx="5943600" cy="1785845"/>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785845"/>
                    </a:xfrm>
                    <a:prstGeom prst="rect">
                      <a:avLst/>
                    </a:prstGeom>
                    <a:noFill/>
                    <a:ln>
                      <a:noFill/>
                    </a:ln>
                  </pic:spPr>
                </pic:pic>
              </a:graphicData>
            </a:graphic>
          </wp:inline>
        </w:drawing>
      </w:r>
    </w:p>
    <w:p w14:paraId="3E5E5BF1" w14:textId="49E357BD" w:rsidR="0029729D" w:rsidRDefault="0029729D" w:rsidP="00DF4D15">
      <w:pPr>
        <w:spacing w:line="480" w:lineRule="auto"/>
        <w:ind w:firstLine="720"/>
        <w:rPr>
          <w:rFonts w:eastAsiaTheme="minorEastAsia"/>
          <w:color w:val="000000" w:themeColor="text1"/>
          <w:kern w:val="24"/>
          <w:sz w:val="24"/>
          <w:szCs w:val="24"/>
        </w:rPr>
      </w:pPr>
      <w:r>
        <w:rPr>
          <w:rFonts w:eastAsiaTheme="minorEastAsia"/>
          <w:color w:val="000000" w:themeColor="text1"/>
          <w:kern w:val="24"/>
          <w:sz w:val="24"/>
          <w:szCs w:val="24"/>
        </w:rPr>
        <w:t>The dashed line at the center of Exhibit 2 represents 20 short calendar intervals</w:t>
      </w:r>
      <w:r w:rsidR="00A064D3">
        <w:rPr>
          <w:rFonts w:eastAsiaTheme="minorEastAsia"/>
          <w:color w:val="000000" w:themeColor="text1"/>
          <w:kern w:val="24"/>
          <w:sz w:val="24"/>
          <w:szCs w:val="24"/>
        </w:rPr>
        <w:t xml:space="preserve">.  </w:t>
      </w:r>
      <w:r>
        <w:rPr>
          <w:rFonts w:eastAsiaTheme="minorEastAsia"/>
          <w:color w:val="000000" w:themeColor="text1"/>
          <w:kern w:val="24"/>
          <w:sz w:val="24"/>
          <w:szCs w:val="24"/>
        </w:rPr>
        <w:t>For each calendar interval, we calculate the Mahalanobis distance</w:t>
      </w:r>
      <w:r w:rsidR="000130B6">
        <w:rPr>
          <w:rFonts w:eastAsiaTheme="minorEastAsia"/>
          <w:color w:val="000000" w:themeColor="text1"/>
          <w:kern w:val="24"/>
          <w:sz w:val="24"/>
          <w:szCs w:val="24"/>
        </w:rPr>
        <w:t xml:space="preserve">.  Then we sum these distances </w:t>
      </w:r>
      <w:r>
        <w:rPr>
          <w:rFonts w:eastAsiaTheme="minorEastAsia"/>
          <w:color w:val="000000" w:themeColor="text1"/>
          <w:kern w:val="24"/>
          <w:sz w:val="24"/>
          <w:szCs w:val="24"/>
        </w:rPr>
        <w:t xml:space="preserve">until the sum equals our threshold for </w:t>
      </w:r>
      <w:r w:rsidR="00726E97">
        <w:rPr>
          <w:rFonts w:eastAsiaTheme="minorEastAsia"/>
          <w:color w:val="000000" w:themeColor="text1"/>
          <w:kern w:val="24"/>
          <w:sz w:val="24"/>
          <w:szCs w:val="24"/>
        </w:rPr>
        <w:t>event intensity</w:t>
      </w:r>
      <w:r>
        <w:rPr>
          <w:rFonts w:eastAsiaTheme="minorEastAsia"/>
          <w:color w:val="000000" w:themeColor="text1"/>
          <w:kern w:val="24"/>
          <w:sz w:val="24"/>
          <w:szCs w:val="24"/>
        </w:rPr>
        <w:t xml:space="preserve">.  Initially three calendar intervals are required to reach our </w:t>
      </w:r>
      <w:r w:rsidR="00726E97">
        <w:rPr>
          <w:rFonts w:eastAsiaTheme="minorEastAsia"/>
          <w:color w:val="000000" w:themeColor="text1"/>
          <w:kern w:val="24"/>
          <w:sz w:val="24"/>
          <w:szCs w:val="24"/>
        </w:rPr>
        <w:t>event intensity</w:t>
      </w:r>
      <w:r>
        <w:rPr>
          <w:rFonts w:eastAsiaTheme="minorEastAsia"/>
          <w:color w:val="000000" w:themeColor="text1"/>
          <w:kern w:val="24"/>
          <w:sz w:val="24"/>
          <w:szCs w:val="24"/>
        </w:rPr>
        <w:t xml:space="preserve"> threshold, then two periods</w:t>
      </w:r>
      <w:r w:rsidR="000130B6">
        <w:rPr>
          <w:rFonts w:eastAsiaTheme="minorEastAsia"/>
          <w:color w:val="000000" w:themeColor="text1"/>
          <w:kern w:val="24"/>
          <w:sz w:val="24"/>
          <w:szCs w:val="24"/>
        </w:rPr>
        <w:t>,</w:t>
      </w:r>
      <w:r>
        <w:rPr>
          <w:rFonts w:eastAsiaTheme="minorEastAsia"/>
          <w:color w:val="000000" w:themeColor="text1"/>
          <w:kern w:val="24"/>
          <w:sz w:val="24"/>
          <w:szCs w:val="24"/>
        </w:rPr>
        <w:t xml:space="preserve"> then only one period</w:t>
      </w:r>
      <w:r w:rsidR="000130B6">
        <w:rPr>
          <w:rFonts w:eastAsiaTheme="minorEastAsia"/>
          <w:color w:val="000000" w:themeColor="text1"/>
          <w:kern w:val="24"/>
          <w:sz w:val="24"/>
          <w:szCs w:val="24"/>
        </w:rPr>
        <w:t>,</w:t>
      </w:r>
      <w:r>
        <w:rPr>
          <w:rFonts w:eastAsiaTheme="minorEastAsia"/>
          <w:color w:val="000000" w:themeColor="text1"/>
          <w:kern w:val="24"/>
          <w:sz w:val="24"/>
          <w:szCs w:val="24"/>
        </w:rPr>
        <w:t xml:space="preserve"> and so on.  Though there are 20 calendar periods, there are only 10 event periods.</w:t>
      </w:r>
    </w:p>
    <w:p w14:paraId="50B88DC6" w14:textId="3DAE8D16" w:rsidR="000130B6" w:rsidRDefault="000130B6" w:rsidP="00DF4D15">
      <w:pPr>
        <w:spacing w:line="480" w:lineRule="auto"/>
        <w:ind w:firstLine="720"/>
        <w:rPr>
          <w:rFonts w:eastAsiaTheme="minorEastAsia"/>
          <w:color w:val="000000" w:themeColor="text1"/>
          <w:kern w:val="24"/>
          <w:sz w:val="24"/>
          <w:szCs w:val="24"/>
        </w:rPr>
      </w:pPr>
      <w:r>
        <w:rPr>
          <w:rFonts w:eastAsiaTheme="minorEastAsia"/>
          <w:color w:val="000000" w:themeColor="text1"/>
          <w:kern w:val="24"/>
          <w:sz w:val="24"/>
          <w:szCs w:val="24"/>
        </w:rPr>
        <w:t xml:space="preserve">One might consider computing the Mahalanobis distance over an expanding window until it reaches the </w:t>
      </w:r>
      <w:r w:rsidR="00726E97">
        <w:rPr>
          <w:rFonts w:eastAsiaTheme="minorEastAsia"/>
          <w:color w:val="000000" w:themeColor="text1"/>
          <w:kern w:val="24"/>
          <w:sz w:val="24"/>
          <w:szCs w:val="24"/>
        </w:rPr>
        <w:t>event intensity</w:t>
      </w:r>
      <w:r>
        <w:rPr>
          <w:rFonts w:eastAsiaTheme="minorEastAsia"/>
          <w:color w:val="000000" w:themeColor="text1"/>
          <w:kern w:val="24"/>
          <w:sz w:val="24"/>
          <w:szCs w:val="24"/>
        </w:rPr>
        <w:t xml:space="preserve"> threshold, but this approach could yield a misleading result.  For example, some of the asset returns in the first period might be significantly above average or they may have co-moved in a way that is contrary to their historical pattern, but not so much to reach the </w:t>
      </w:r>
      <w:r w:rsidR="00726E97">
        <w:rPr>
          <w:rFonts w:eastAsiaTheme="minorEastAsia"/>
          <w:color w:val="000000" w:themeColor="text1"/>
          <w:kern w:val="24"/>
          <w:sz w:val="24"/>
          <w:szCs w:val="24"/>
        </w:rPr>
        <w:t>event intensity</w:t>
      </w:r>
      <w:r>
        <w:rPr>
          <w:rFonts w:eastAsiaTheme="minorEastAsia"/>
          <w:color w:val="000000" w:themeColor="text1"/>
          <w:kern w:val="24"/>
          <w:sz w:val="24"/>
          <w:szCs w:val="24"/>
        </w:rPr>
        <w:t xml:space="preserve"> threshold.  Then in the next calendar interval, they might have reversed their pattern such that cumulatively over the two periods it would appear that there were no significant events.  </w:t>
      </w:r>
      <w:r w:rsidR="00B63DD0">
        <w:rPr>
          <w:rFonts w:eastAsiaTheme="minorEastAsia"/>
          <w:color w:val="000000" w:themeColor="text1"/>
          <w:kern w:val="24"/>
          <w:sz w:val="24"/>
          <w:szCs w:val="24"/>
        </w:rPr>
        <w:t>By computing the Mahalanobis distance repeatedly over each small calendar interval, we capture offsetting events that are obscured when they are averaged over longer intervals.</w:t>
      </w:r>
    </w:p>
    <w:p w14:paraId="6C67607A" w14:textId="77777777" w:rsidR="006268E1" w:rsidRDefault="006268E1" w:rsidP="00DF4D15">
      <w:pPr>
        <w:spacing w:line="480" w:lineRule="auto"/>
        <w:ind w:firstLine="720"/>
        <w:rPr>
          <w:rFonts w:eastAsiaTheme="minorEastAsia"/>
          <w:color w:val="000000" w:themeColor="text1"/>
          <w:kern w:val="24"/>
          <w:sz w:val="24"/>
          <w:szCs w:val="24"/>
        </w:rPr>
      </w:pPr>
    </w:p>
    <w:p w14:paraId="71304F4A" w14:textId="1B96074B" w:rsidR="00CA29AC" w:rsidRPr="002D7C82" w:rsidRDefault="00F16BEB" w:rsidP="00CA29AC">
      <w:pPr>
        <w:spacing w:line="480" w:lineRule="auto"/>
        <w:rPr>
          <w:rFonts w:eastAsiaTheme="minorEastAsia"/>
          <w:color w:val="000000" w:themeColor="text1"/>
          <w:kern w:val="24"/>
          <w:sz w:val="24"/>
          <w:szCs w:val="24"/>
          <w:u w:val="single"/>
        </w:rPr>
      </w:pPr>
      <w:r w:rsidRPr="002D7C82">
        <w:rPr>
          <w:rFonts w:eastAsiaTheme="minorEastAsia"/>
          <w:color w:val="000000" w:themeColor="text1"/>
          <w:kern w:val="24"/>
          <w:sz w:val="24"/>
          <w:szCs w:val="24"/>
          <w:u w:val="single"/>
        </w:rPr>
        <w:lastRenderedPageBreak/>
        <w:t>Implementation Issues</w:t>
      </w:r>
    </w:p>
    <w:p w14:paraId="3B3AD357" w14:textId="32954CE4" w:rsidR="00BA3D91" w:rsidRPr="002D7C82" w:rsidRDefault="00D84A1E" w:rsidP="0045163A">
      <w:pPr>
        <w:spacing w:line="480" w:lineRule="auto"/>
        <w:rPr>
          <w:rFonts w:eastAsiaTheme="minorEastAsia"/>
          <w:color w:val="000000" w:themeColor="text1"/>
          <w:kern w:val="24"/>
          <w:sz w:val="24"/>
          <w:szCs w:val="24"/>
        </w:rPr>
      </w:pPr>
      <w:r w:rsidRPr="002D7C82">
        <w:rPr>
          <w:rFonts w:eastAsiaTheme="minorEastAsia"/>
          <w:color w:val="000000" w:themeColor="text1"/>
          <w:kern w:val="24"/>
          <w:sz w:val="24"/>
          <w:szCs w:val="24"/>
        </w:rPr>
        <w:t xml:space="preserve">Thus far we have noted that unusualness corresponds to </w:t>
      </w:r>
      <w:r w:rsidR="00726E97" w:rsidRPr="002D7C82">
        <w:rPr>
          <w:rFonts w:eastAsiaTheme="minorEastAsia"/>
          <w:color w:val="000000" w:themeColor="text1"/>
          <w:kern w:val="24"/>
          <w:sz w:val="24"/>
          <w:szCs w:val="24"/>
        </w:rPr>
        <w:t>event intensity</w:t>
      </w:r>
      <w:r w:rsidRPr="002D7C82">
        <w:rPr>
          <w:rFonts w:eastAsiaTheme="minorEastAsia"/>
          <w:color w:val="000000" w:themeColor="text1"/>
          <w:kern w:val="24"/>
          <w:sz w:val="24"/>
          <w:szCs w:val="24"/>
        </w:rPr>
        <w:t xml:space="preserve">, and </w:t>
      </w:r>
      <w:r w:rsidR="00726E97" w:rsidRPr="002D7C82">
        <w:rPr>
          <w:rFonts w:eastAsiaTheme="minorEastAsia"/>
          <w:color w:val="000000" w:themeColor="text1"/>
          <w:kern w:val="24"/>
          <w:sz w:val="24"/>
          <w:szCs w:val="24"/>
        </w:rPr>
        <w:t>event intensity</w:t>
      </w:r>
      <w:r w:rsidRPr="002D7C82">
        <w:rPr>
          <w:rFonts w:eastAsiaTheme="minorEastAsia"/>
          <w:color w:val="000000" w:themeColor="text1"/>
          <w:kern w:val="24"/>
          <w:sz w:val="24"/>
          <w:szCs w:val="24"/>
        </w:rPr>
        <w:t xml:space="preserve"> corresponds to informativeness.  And we showed how to measure </w:t>
      </w:r>
      <w:r w:rsidR="00726E97" w:rsidRPr="002D7C82">
        <w:rPr>
          <w:rFonts w:eastAsiaTheme="minorEastAsia"/>
          <w:color w:val="000000" w:themeColor="text1"/>
          <w:kern w:val="24"/>
          <w:sz w:val="24"/>
          <w:szCs w:val="24"/>
        </w:rPr>
        <w:t>event intensity</w:t>
      </w:r>
      <w:r w:rsidRPr="002D7C82">
        <w:rPr>
          <w:rFonts w:eastAsiaTheme="minorEastAsia"/>
          <w:color w:val="000000" w:themeColor="text1"/>
          <w:kern w:val="24"/>
          <w:sz w:val="24"/>
          <w:szCs w:val="24"/>
        </w:rPr>
        <w:t xml:space="preserve"> mathematically.  But </w:t>
      </w:r>
      <w:r w:rsidR="007B0C55" w:rsidRPr="002D7C82">
        <w:rPr>
          <w:rFonts w:eastAsiaTheme="minorEastAsia"/>
          <w:color w:val="000000" w:themeColor="text1"/>
          <w:kern w:val="24"/>
          <w:sz w:val="24"/>
          <w:szCs w:val="24"/>
        </w:rPr>
        <w:t>we have not yet addressed an important</w:t>
      </w:r>
      <w:r w:rsidR="00F16BEB" w:rsidRPr="002D7C82">
        <w:rPr>
          <w:rFonts w:eastAsiaTheme="minorEastAsia"/>
          <w:color w:val="000000" w:themeColor="text1"/>
          <w:kern w:val="24"/>
          <w:sz w:val="24"/>
          <w:szCs w:val="24"/>
        </w:rPr>
        <w:t xml:space="preserve"> implementation</w:t>
      </w:r>
      <w:r w:rsidR="007B0C55" w:rsidRPr="002D7C82">
        <w:rPr>
          <w:rFonts w:eastAsiaTheme="minorEastAsia"/>
          <w:color w:val="000000" w:themeColor="text1"/>
          <w:kern w:val="24"/>
          <w:sz w:val="24"/>
          <w:szCs w:val="24"/>
        </w:rPr>
        <w:t xml:space="preserve"> issue, which is the choice of variables used to indicate </w:t>
      </w:r>
      <w:r w:rsidR="00726E97" w:rsidRPr="002D7C82">
        <w:rPr>
          <w:rFonts w:eastAsiaTheme="minorEastAsia"/>
          <w:color w:val="000000" w:themeColor="text1"/>
          <w:kern w:val="24"/>
          <w:sz w:val="24"/>
          <w:szCs w:val="24"/>
        </w:rPr>
        <w:t>event intensity</w:t>
      </w:r>
      <w:r w:rsidR="007B0C55" w:rsidRPr="002D7C82">
        <w:rPr>
          <w:rFonts w:eastAsiaTheme="minorEastAsia"/>
          <w:color w:val="000000" w:themeColor="text1"/>
          <w:kern w:val="24"/>
          <w:sz w:val="24"/>
          <w:szCs w:val="24"/>
        </w:rPr>
        <w:t xml:space="preserve">.  These variables will differ depending on the context in which we measure </w:t>
      </w:r>
      <w:r w:rsidR="00726E97" w:rsidRPr="002D7C82">
        <w:rPr>
          <w:rFonts w:eastAsiaTheme="minorEastAsia"/>
          <w:color w:val="000000" w:themeColor="text1"/>
          <w:kern w:val="24"/>
          <w:sz w:val="24"/>
          <w:szCs w:val="24"/>
        </w:rPr>
        <w:t>event intensity</w:t>
      </w:r>
      <w:r w:rsidR="007B0C55" w:rsidRPr="002D7C82">
        <w:rPr>
          <w:rFonts w:eastAsiaTheme="minorEastAsia"/>
          <w:color w:val="000000" w:themeColor="text1"/>
          <w:kern w:val="24"/>
          <w:sz w:val="24"/>
          <w:szCs w:val="24"/>
        </w:rPr>
        <w:t>.  Suppose</w:t>
      </w:r>
      <w:r w:rsidR="0045163A" w:rsidRPr="002D7C82">
        <w:rPr>
          <w:rFonts w:eastAsiaTheme="minorEastAsia"/>
          <w:color w:val="000000" w:themeColor="text1"/>
          <w:kern w:val="24"/>
          <w:sz w:val="24"/>
          <w:szCs w:val="24"/>
        </w:rPr>
        <w:t>, for example,</w:t>
      </w:r>
      <w:r w:rsidR="007B0C55" w:rsidRPr="002D7C82">
        <w:rPr>
          <w:rFonts w:eastAsiaTheme="minorEastAsia"/>
          <w:color w:val="000000" w:themeColor="text1"/>
          <w:kern w:val="24"/>
          <w:sz w:val="24"/>
          <w:szCs w:val="24"/>
        </w:rPr>
        <w:t xml:space="preserve"> we wish to</w:t>
      </w:r>
      <w:r w:rsidR="0045163A" w:rsidRPr="002D7C82">
        <w:rPr>
          <w:rFonts w:eastAsiaTheme="minorEastAsia"/>
          <w:color w:val="000000" w:themeColor="text1"/>
          <w:kern w:val="24"/>
          <w:sz w:val="24"/>
          <w:szCs w:val="24"/>
        </w:rPr>
        <w:t xml:space="preserve"> </w:t>
      </w:r>
      <w:r w:rsidR="00160900" w:rsidRPr="002D7C82">
        <w:rPr>
          <w:rFonts w:eastAsiaTheme="minorEastAsia"/>
          <w:color w:val="000000" w:themeColor="text1"/>
          <w:kern w:val="24"/>
          <w:sz w:val="24"/>
          <w:szCs w:val="24"/>
        </w:rPr>
        <w:t xml:space="preserve">analyze </w:t>
      </w:r>
      <w:r w:rsidR="0045163A" w:rsidRPr="002D7C82">
        <w:rPr>
          <w:rFonts w:eastAsiaTheme="minorEastAsia"/>
          <w:color w:val="000000" w:themeColor="text1"/>
          <w:kern w:val="24"/>
          <w:sz w:val="24"/>
          <w:szCs w:val="24"/>
        </w:rPr>
        <w:t xml:space="preserve">the U.S. equity market.  We might measure </w:t>
      </w:r>
      <w:r w:rsidR="00726E97" w:rsidRPr="002D7C82">
        <w:rPr>
          <w:rFonts w:eastAsiaTheme="minorEastAsia"/>
          <w:color w:val="000000" w:themeColor="text1"/>
          <w:kern w:val="24"/>
          <w:sz w:val="24"/>
          <w:szCs w:val="24"/>
        </w:rPr>
        <w:t>event intensity</w:t>
      </w:r>
      <w:r w:rsidR="0045163A" w:rsidRPr="002D7C82">
        <w:rPr>
          <w:rFonts w:eastAsiaTheme="minorEastAsia"/>
          <w:color w:val="000000" w:themeColor="text1"/>
          <w:kern w:val="24"/>
          <w:sz w:val="24"/>
          <w:szCs w:val="24"/>
        </w:rPr>
        <w:t xml:space="preserve"> based on the returns of sectors within the U.S. equity market or the returns of asset classes that make up a typical multi-asset portfolio.  We may even include economic variables that are believed to affect equity prices.  If</w:t>
      </w:r>
      <w:r w:rsidR="003D0A69" w:rsidRPr="002D7C82">
        <w:rPr>
          <w:rFonts w:eastAsiaTheme="minorEastAsia"/>
          <w:color w:val="000000" w:themeColor="text1"/>
          <w:kern w:val="24"/>
          <w:sz w:val="24"/>
          <w:szCs w:val="24"/>
        </w:rPr>
        <w:t>,</w:t>
      </w:r>
      <w:r w:rsidR="0045163A" w:rsidRPr="002D7C82">
        <w:rPr>
          <w:rFonts w:eastAsiaTheme="minorEastAsia"/>
          <w:color w:val="000000" w:themeColor="text1"/>
          <w:kern w:val="24"/>
          <w:sz w:val="24"/>
          <w:szCs w:val="24"/>
        </w:rPr>
        <w:t xml:space="preserve"> instead</w:t>
      </w:r>
      <w:r w:rsidR="003D0A69" w:rsidRPr="002D7C82">
        <w:rPr>
          <w:rFonts w:eastAsiaTheme="minorEastAsia"/>
          <w:color w:val="000000" w:themeColor="text1"/>
          <w:kern w:val="24"/>
          <w:sz w:val="24"/>
          <w:szCs w:val="24"/>
        </w:rPr>
        <w:t>,</w:t>
      </w:r>
      <w:r w:rsidR="0045163A" w:rsidRPr="002D7C82">
        <w:rPr>
          <w:rFonts w:eastAsiaTheme="minorEastAsia"/>
          <w:color w:val="000000" w:themeColor="text1"/>
          <w:kern w:val="24"/>
          <w:sz w:val="24"/>
          <w:szCs w:val="24"/>
        </w:rPr>
        <w:t xml:space="preserve"> our goal is to </w:t>
      </w:r>
      <w:r w:rsidR="00160900" w:rsidRPr="002D7C82">
        <w:rPr>
          <w:rFonts w:eastAsiaTheme="minorEastAsia"/>
          <w:color w:val="000000" w:themeColor="text1"/>
          <w:kern w:val="24"/>
          <w:sz w:val="24"/>
          <w:szCs w:val="24"/>
        </w:rPr>
        <w:t>analyze currencies</w:t>
      </w:r>
      <w:r w:rsidR="0045163A" w:rsidRPr="002D7C82">
        <w:rPr>
          <w:rFonts w:eastAsiaTheme="minorEastAsia"/>
          <w:color w:val="000000" w:themeColor="text1"/>
          <w:kern w:val="24"/>
          <w:sz w:val="24"/>
          <w:szCs w:val="24"/>
        </w:rPr>
        <w:t xml:space="preserve">, it would make more sense to determine </w:t>
      </w:r>
      <w:r w:rsidR="00726E97" w:rsidRPr="002D7C82">
        <w:rPr>
          <w:rFonts w:eastAsiaTheme="minorEastAsia"/>
          <w:color w:val="000000" w:themeColor="text1"/>
          <w:kern w:val="24"/>
          <w:sz w:val="24"/>
          <w:szCs w:val="24"/>
        </w:rPr>
        <w:t>event intensity</w:t>
      </w:r>
      <w:r w:rsidR="0045163A" w:rsidRPr="002D7C82">
        <w:rPr>
          <w:rFonts w:eastAsiaTheme="minorEastAsia"/>
          <w:color w:val="000000" w:themeColor="text1"/>
          <w:kern w:val="24"/>
          <w:sz w:val="24"/>
          <w:szCs w:val="24"/>
        </w:rPr>
        <w:t xml:space="preserve"> from currency returns and perhaps interest rates across various countries.  </w:t>
      </w:r>
      <w:r w:rsidR="003D0A69" w:rsidRPr="002D7C82">
        <w:rPr>
          <w:rFonts w:eastAsiaTheme="minorEastAsia"/>
          <w:color w:val="000000" w:themeColor="text1"/>
          <w:kern w:val="24"/>
          <w:sz w:val="24"/>
          <w:szCs w:val="24"/>
        </w:rPr>
        <w:t xml:space="preserve">The choice of variables is not ordained theoretically.  Instead, we must rely on </w:t>
      </w:r>
      <w:r w:rsidR="00D1754A" w:rsidRPr="002D7C82">
        <w:rPr>
          <w:rFonts w:eastAsiaTheme="minorEastAsia"/>
          <w:color w:val="000000" w:themeColor="text1"/>
          <w:kern w:val="24"/>
          <w:sz w:val="24"/>
          <w:szCs w:val="24"/>
        </w:rPr>
        <w:t xml:space="preserve">empirical analysis, </w:t>
      </w:r>
      <w:r w:rsidR="003D0A69" w:rsidRPr="002D7C82">
        <w:rPr>
          <w:rFonts w:eastAsiaTheme="minorEastAsia"/>
          <w:color w:val="000000" w:themeColor="text1"/>
          <w:kern w:val="24"/>
          <w:sz w:val="24"/>
          <w:szCs w:val="24"/>
        </w:rPr>
        <w:t>experience,</w:t>
      </w:r>
      <w:r w:rsidR="00D1754A" w:rsidRPr="002D7C82">
        <w:rPr>
          <w:rFonts w:eastAsiaTheme="minorEastAsia"/>
          <w:color w:val="000000" w:themeColor="text1"/>
          <w:kern w:val="24"/>
          <w:sz w:val="24"/>
          <w:szCs w:val="24"/>
        </w:rPr>
        <w:t xml:space="preserve"> and</w:t>
      </w:r>
      <w:r w:rsidR="003D0A69" w:rsidRPr="002D7C82">
        <w:rPr>
          <w:rFonts w:eastAsiaTheme="minorEastAsia"/>
          <w:color w:val="000000" w:themeColor="text1"/>
          <w:kern w:val="24"/>
          <w:sz w:val="24"/>
          <w:szCs w:val="24"/>
        </w:rPr>
        <w:t xml:space="preserve"> judgment.</w:t>
      </w:r>
    </w:p>
    <w:p w14:paraId="4EB923E5" w14:textId="037B7486" w:rsidR="003D0A69" w:rsidRPr="002D7C82" w:rsidRDefault="003D0A69" w:rsidP="0045163A">
      <w:pPr>
        <w:spacing w:line="480" w:lineRule="auto"/>
        <w:rPr>
          <w:rFonts w:eastAsiaTheme="minorEastAsia"/>
          <w:color w:val="000000" w:themeColor="text1"/>
          <w:kern w:val="24"/>
          <w:sz w:val="24"/>
          <w:szCs w:val="24"/>
        </w:rPr>
      </w:pPr>
      <w:r w:rsidRPr="002D7C82">
        <w:rPr>
          <w:rFonts w:eastAsiaTheme="minorEastAsia"/>
          <w:color w:val="000000" w:themeColor="text1"/>
          <w:kern w:val="24"/>
          <w:sz w:val="24"/>
          <w:szCs w:val="24"/>
        </w:rPr>
        <w:tab/>
      </w:r>
      <w:r w:rsidR="00F16BEB" w:rsidRPr="002D7C82">
        <w:rPr>
          <w:rFonts w:eastAsiaTheme="minorEastAsia"/>
          <w:color w:val="000000" w:themeColor="text1"/>
          <w:kern w:val="24"/>
          <w:sz w:val="24"/>
          <w:szCs w:val="24"/>
        </w:rPr>
        <w:t>Implementation also requires us</w:t>
      </w:r>
      <w:r w:rsidRPr="002D7C82">
        <w:rPr>
          <w:rFonts w:eastAsiaTheme="minorEastAsia"/>
          <w:color w:val="000000" w:themeColor="text1"/>
          <w:kern w:val="24"/>
          <w:sz w:val="24"/>
          <w:szCs w:val="24"/>
        </w:rPr>
        <w:t xml:space="preserve"> to select a threshold for </w:t>
      </w:r>
      <w:r w:rsidR="00F16BEB" w:rsidRPr="002D7C82">
        <w:rPr>
          <w:rFonts w:eastAsiaTheme="minorEastAsia"/>
          <w:color w:val="000000" w:themeColor="text1"/>
          <w:kern w:val="24"/>
          <w:sz w:val="24"/>
          <w:szCs w:val="24"/>
        </w:rPr>
        <w:t>delineating</w:t>
      </w:r>
      <w:r w:rsidRPr="002D7C82">
        <w:rPr>
          <w:rFonts w:eastAsiaTheme="minorEastAsia"/>
          <w:color w:val="000000" w:themeColor="text1"/>
          <w:kern w:val="24"/>
          <w:sz w:val="24"/>
          <w:szCs w:val="24"/>
        </w:rPr>
        <w:t xml:space="preserve"> </w:t>
      </w:r>
      <w:r w:rsidR="00726E97" w:rsidRPr="002D7C82">
        <w:rPr>
          <w:rFonts w:eastAsiaTheme="minorEastAsia"/>
          <w:color w:val="000000" w:themeColor="text1"/>
          <w:kern w:val="24"/>
          <w:sz w:val="24"/>
          <w:szCs w:val="24"/>
        </w:rPr>
        <w:t>event intensity</w:t>
      </w:r>
      <w:r w:rsidRPr="002D7C82">
        <w:rPr>
          <w:rFonts w:eastAsiaTheme="minorEastAsia"/>
          <w:color w:val="000000" w:themeColor="text1"/>
          <w:kern w:val="24"/>
          <w:sz w:val="24"/>
          <w:szCs w:val="24"/>
        </w:rPr>
        <w:t>.  This choice as well requires</w:t>
      </w:r>
      <w:r w:rsidR="00D1754A" w:rsidRPr="002D7C82">
        <w:rPr>
          <w:rFonts w:eastAsiaTheme="minorEastAsia"/>
          <w:color w:val="000000" w:themeColor="text1"/>
          <w:kern w:val="24"/>
          <w:sz w:val="24"/>
          <w:szCs w:val="24"/>
        </w:rPr>
        <w:t xml:space="preserve"> analysis and</w:t>
      </w:r>
      <w:r w:rsidRPr="002D7C82">
        <w:rPr>
          <w:rFonts w:eastAsiaTheme="minorEastAsia"/>
          <w:color w:val="000000" w:themeColor="text1"/>
          <w:kern w:val="24"/>
          <w:sz w:val="24"/>
          <w:szCs w:val="24"/>
        </w:rPr>
        <w:t xml:space="preserve"> judgment.  The units of the Mahalanobis distance tell us nothing in an absolute sense.  It therefore might be helpful to convert the Mahalanobis distance in</w:t>
      </w:r>
      <w:r w:rsidR="00F16BEB" w:rsidRPr="002D7C82">
        <w:rPr>
          <w:rFonts w:eastAsiaTheme="minorEastAsia"/>
          <w:color w:val="000000" w:themeColor="text1"/>
          <w:kern w:val="24"/>
          <w:sz w:val="24"/>
          <w:szCs w:val="24"/>
        </w:rPr>
        <w:t>to</w:t>
      </w:r>
      <w:r w:rsidRPr="002D7C82">
        <w:rPr>
          <w:rFonts w:eastAsiaTheme="minorEastAsia"/>
          <w:color w:val="000000" w:themeColor="text1"/>
          <w:kern w:val="24"/>
          <w:sz w:val="24"/>
          <w:szCs w:val="24"/>
        </w:rPr>
        <w:t xml:space="preserve"> a measure of likelihood, as shown by Equation </w:t>
      </w:r>
      <w:r w:rsidR="00970C3F">
        <w:rPr>
          <w:rFonts w:eastAsiaTheme="minorEastAsia"/>
          <w:color w:val="000000" w:themeColor="text1"/>
          <w:kern w:val="24"/>
          <w:sz w:val="24"/>
          <w:szCs w:val="24"/>
        </w:rPr>
        <w:t>2</w:t>
      </w:r>
      <w:r w:rsidRPr="002D7C82">
        <w:rPr>
          <w:rFonts w:eastAsiaTheme="minorEastAsia"/>
          <w:color w:val="000000" w:themeColor="text1"/>
          <w:kern w:val="24"/>
          <w:sz w:val="24"/>
          <w:szCs w:val="24"/>
        </w:rPr>
        <w:t>.</w:t>
      </w:r>
    </w:p>
    <w:p w14:paraId="5847CC95" w14:textId="41180260" w:rsidR="003D0A69" w:rsidRPr="002D7C82" w:rsidRDefault="003D0A69" w:rsidP="003D0A69">
      <w:pPr>
        <w:tabs>
          <w:tab w:val="left" w:pos="3870"/>
        </w:tabs>
        <w:rPr>
          <w:rFonts w:cstheme="minorHAnsi"/>
          <w:sz w:val="24"/>
          <w:szCs w:val="24"/>
        </w:rPr>
      </w:pPr>
      <w:r w:rsidRPr="002D7C82">
        <w:rPr>
          <w:rFonts w:eastAsiaTheme="minorEastAsia"/>
          <w:sz w:val="24"/>
          <w:szCs w:val="24"/>
        </w:rPr>
        <w:tab/>
      </w:r>
      <m:oMath>
        <m:r>
          <w:rPr>
            <w:rFonts w:ascii="Cambria Math" w:hAnsi="Cambria Math"/>
            <w:sz w:val="24"/>
            <w:szCs w:val="24"/>
          </w:rPr>
          <m:t>likelihood∝</m:t>
        </m:r>
        <m:sSup>
          <m:sSupPr>
            <m:ctrlPr>
              <w:rPr>
                <w:rFonts w:ascii="Cambria Math" w:hAnsi="Cambria Math" w:cstheme="minorHAnsi"/>
                <w:i/>
                <w:sz w:val="24"/>
                <w:szCs w:val="24"/>
              </w:rPr>
            </m:ctrlPr>
          </m:sSupPr>
          <m:e>
            <m:r>
              <w:rPr>
                <w:rFonts w:ascii="Cambria Math" w:hAnsi="Cambria Math" w:cstheme="minorHAnsi"/>
                <w:sz w:val="24"/>
                <w:szCs w:val="24"/>
              </w:rPr>
              <m:t>e</m:t>
            </m:r>
          </m:e>
          <m:sup>
            <m:r>
              <w:rPr>
                <w:rFonts w:ascii="Cambria Math" w:hAnsi="Cambria Math" w:cstheme="minorHAnsi"/>
                <w:sz w:val="24"/>
                <w:szCs w:val="24"/>
              </w:rPr>
              <m:t>-d/2</m:t>
            </m:r>
          </m:sup>
        </m:sSup>
      </m:oMath>
      <w:r w:rsidRPr="002D7C82">
        <w:rPr>
          <w:rFonts w:ascii="Cambria Math" w:hAnsi="Cambria Math"/>
          <w:sz w:val="28"/>
          <w:szCs w:val="28"/>
        </w:rPr>
        <w:tab/>
      </w:r>
      <w:r w:rsidRPr="002D7C82">
        <w:rPr>
          <w:rFonts w:ascii="Cambria Math" w:hAnsi="Cambria Math"/>
          <w:sz w:val="28"/>
          <w:szCs w:val="28"/>
        </w:rPr>
        <w:tab/>
      </w:r>
      <w:r w:rsidRPr="002D7C82">
        <w:rPr>
          <w:rFonts w:ascii="Cambria Math" w:hAnsi="Cambria Math"/>
          <w:sz w:val="28"/>
          <w:szCs w:val="28"/>
        </w:rPr>
        <w:tab/>
      </w:r>
      <w:r w:rsidRPr="002D7C82">
        <w:rPr>
          <w:rFonts w:ascii="Cambria Math" w:hAnsi="Cambria Math"/>
          <w:sz w:val="28"/>
          <w:szCs w:val="28"/>
        </w:rPr>
        <w:tab/>
      </w:r>
      <w:r w:rsidRPr="002D7C82">
        <w:rPr>
          <w:rFonts w:cstheme="minorHAnsi"/>
          <w:sz w:val="24"/>
          <w:szCs w:val="24"/>
        </w:rPr>
        <w:t>(</w:t>
      </w:r>
      <w:r w:rsidR="00970C3F">
        <w:rPr>
          <w:rFonts w:cstheme="minorHAnsi"/>
          <w:sz w:val="24"/>
          <w:szCs w:val="24"/>
        </w:rPr>
        <w:t>2</w:t>
      </w:r>
      <w:r w:rsidRPr="002D7C82">
        <w:rPr>
          <w:rFonts w:cstheme="minorHAnsi"/>
          <w:sz w:val="24"/>
          <w:szCs w:val="24"/>
        </w:rPr>
        <w:t>)</w:t>
      </w:r>
    </w:p>
    <w:p w14:paraId="55805FEC" w14:textId="77777777" w:rsidR="003D0A69" w:rsidRPr="002D7C82" w:rsidRDefault="003D0A69" w:rsidP="003D0A69">
      <w:pPr>
        <w:ind w:left="3600" w:firstLine="720"/>
        <w:rPr>
          <w:rFonts w:cstheme="minorHAnsi"/>
          <w:sz w:val="24"/>
          <w:szCs w:val="24"/>
        </w:rPr>
      </w:pPr>
    </w:p>
    <w:p w14:paraId="38ECBAE0" w14:textId="5145E7CA" w:rsidR="003D0A69" w:rsidRPr="002D7C82" w:rsidRDefault="003D0A69" w:rsidP="0020445E">
      <w:pPr>
        <w:spacing w:line="480" w:lineRule="auto"/>
        <w:ind w:firstLine="720"/>
        <w:rPr>
          <w:sz w:val="24"/>
          <w:szCs w:val="24"/>
        </w:rPr>
      </w:pPr>
      <w:r w:rsidRPr="002D7C82">
        <w:rPr>
          <w:sz w:val="24"/>
          <w:szCs w:val="24"/>
        </w:rPr>
        <w:t xml:space="preserve">In Equation </w:t>
      </w:r>
      <w:r w:rsidR="00970C3F">
        <w:rPr>
          <w:sz w:val="24"/>
          <w:szCs w:val="24"/>
        </w:rPr>
        <w:t>2</w:t>
      </w:r>
      <w:r w:rsidRPr="002D7C82">
        <w:rPr>
          <w:sz w:val="24"/>
          <w:szCs w:val="24"/>
        </w:rPr>
        <w:t xml:space="preserve">, </w:t>
      </w:r>
      <m:oMath>
        <m:r>
          <w:rPr>
            <w:rFonts w:ascii="Cambria Math" w:hAnsi="Cambria Math" w:cstheme="minorHAnsi"/>
            <w:sz w:val="24"/>
            <w:szCs w:val="24"/>
          </w:rPr>
          <m:t>d</m:t>
        </m:r>
      </m:oMath>
      <w:r w:rsidRPr="002D7C82">
        <w:rPr>
          <w:sz w:val="24"/>
          <w:szCs w:val="24"/>
        </w:rPr>
        <w:t xml:space="preserve"> equals the Mahalanobis distance, </w:t>
      </w:r>
      <m:oMath>
        <m:r>
          <w:rPr>
            <w:rFonts w:ascii="Cambria Math" w:hAnsi="Cambria Math" w:cstheme="minorHAnsi"/>
            <w:sz w:val="24"/>
            <w:szCs w:val="24"/>
          </w:rPr>
          <m:t>e</m:t>
        </m:r>
      </m:oMath>
      <w:r w:rsidRPr="002D7C82">
        <w:rPr>
          <w:sz w:val="24"/>
          <w:szCs w:val="24"/>
        </w:rPr>
        <w:t xml:space="preserve"> is the base of the exponential function, and </w:t>
      </w:r>
      <m:oMath>
        <m:r>
          <w:rPr>
            <w:rFonts w:ascii="Cambria Math" w:hAnsi="Cambria Math"/>
            <w:sz w:val="24"/>
            <w:szCs w:val="24"/>
          </w:rPr>
          <m:t>∝</m:t>
        </m:r>
      </m:oMath>
      <w:r w:rsidRPr="002D7C82">
        <w:rPr>
          <w:sz w:val="24"/>
          <w:szCs w:val="24"/>
        </w:rPr>
        <w:t xml:space="preserve"> denotes a proportionality relationship.</w:t>
      </w:r>
    </w:p>
    <w:p w14:paraId="1FFFF09A" w14:textId="71996CB9" w:rsidR="00F16BEB" w:rsidRDefault="00F16BEB" w:rsidP="003D0A69">
      <w:pPr>
        <w:spacing w:line="480" w:lineRule="auto"/>
        <w:rPr>
          <w:sz w:val="24"/>
          <w:szCs w:val="24"/>
        </w:rPr>
      </w:pPr>
      <w:r w:rsidRPr="002D7C82">
        <w:rPr>
          <w:sz w:val="24"/>
          <w:szCs w:val="24"/>
        </w:rPr>
        <w:lastRenderedPageBreak/>
        <w:tab/>
        <w:t xml:space="preserve">This conversion allows us to select a threshold based directly on the likelihood of occurrence, in line with the precepts of information theory.  But </w:t>
      </w:r>
      <w:r w:rsidR="00F94EBA" w:rsidRPr="002D7C82">
        <w:rPr>
          <w:sz w:val="24"/>
          <w:szCs w:val="24"/>
        </w:rPr>
        <w:t xml:space="preserve">it does not obviate the need for </w:t>
      </w:r>
      <w:r w:rsidR="00D1754A" w:rsidRPr="002D7C82">
        <w:rPr>
          <w:sz w:val="24"/>
          <w:szCs w:val="24"/>
        </w:rPr>
        <w:t xml:space="preserve">analysis and </w:t>
      </w:r>
      <w:r w:rsidR="00F94EBA" w:rsidRPr="002D7C82">
        <w:rPr>
          <w:sz w:val="24"/>
          <w:szCs w:val="24"/>
        </w:rPr>
        <w:t>judgment.</w:t>
      </w:r>
      <w:r w:rsidR="00F94EBA">
        <w:rPr>
          <w:sz w:val="24"/>
          <w:szCs w:val="24"/>
        </w:rPr>
        <w:t xml:space="preserve">  </w:t>
      </w:r>
    </w:p>
    <w:p w14:paraId="02D37850" w14:textId="2E9C27A3" w:rsidR="00464D3E" w:rsidRDefault="00464D3E" w:rsidP="003D0A69">
      <w:pPr>
        <w:spacing w:line="480" w:lineRule="auto"/>
        <w:rPr>
          <w:sz w:val="24"/>
          <w:szCs w:val="24"/>
        </w:rPr>
      </w:pPr>
      <w:r>
        <w:rPr>
          <w:sz w:val="24"/>
          <w:szCs w:val="24"/>
        </w:rPr>
        <w:tab/>
        <w:t>We next discuss the implications of event time analysis on statistical inference.</w:t>
      </w:r>
    </w:p>
    <w:p w14:paraId="6858CAF4" w14:textId="77777777" w:rsidR="0086717E" w:rsidRDefault="0086717E" w:rsidP="003D0A69">
      <w:pPr>
        <w:spacing w:line="480" w:lineRule="auto"/>
        <w:rPr>
          <w:b/>
          <w:sz w:val="24"/>
          <w:szCs w:val="24"/>
        </w:rPr>
      </w:pPr>
    </w:p>
    <w:p w14:paraId="7B455A0A" w14:textId="342AC874" w:rsidR="00464D3E" w:rsidRDefault="00464D3E" w:rsidP="003D0A69">
      <w:pPr>
        <w:spacing w:line="480" w:lineRule="auto"/>
        <w:rPr>
          <w:b/>
          <w:sz w:val="24"/>
          <w:szCs w:val="24"/>
        </w:rPr>
      </w:pPr>
      <w:r>
        <w:rPr>
          <w:b/>
          <w:sz w:val="24"/>
          <w:szCs w:val="24"/>
        </w:rPr>
        <w:t>Implications for Statistical Inference</w:t>
      </w:r>
    </w:p>
    <w:p w14:paraId="249A177B" w14:textId="77777777" w:rsidR="0086717E" w:rsidRDefault="0086717E" w:rsidP="003D0A69">
      <w:pPr>
        <w:spacing w:line="480" w:lineRule="auto"/>
        <w:rPr>
          <w:sz w:val="24"/>
          <w:szCs w:val="24"/>
        </w:rPr>
      </w:pPr>
      <w:r>
        <w:rPr>
          <w:sz w:val="24"/>
          <w:szCs w:val="24"/>
        </w:rPr>
        <w:t>Statistical inference is more reliable to the extent the return samples upon which it is based are well behaved.  We first consider this issue from a univariate perspective.  We follow this analysis with a novel approach for measuring the bivariate stability of return samples.</w:t>
      </w:r>
    </w:p>
    <w:p w14:paraId="08B721D2" w14:textId="77777777" w:rsidR="0086717E" w:rsidRPr="0086717E" w:rsidRDefault="0086717E" w:rsidP="003D0A69">
      <w:pPr>
        <w:spacing w:line="480" w:lineRule="auto"/>
        <w:rPr>
          <w:sz w:val="24"/>
          <w:szCs w:val="24"/>
          <w:u w:val="single"/>
        </w:rPr>
      </w:pPr>
      <w:r w:rsidRPr="0086717E">
        <w:rPr>
          <w:sz w:val="24"/>
          <w:szCs w:val="24"/>
          <w:u w:val="single"/>
        </w:rPr>
        <w:t>Univariate Perspective</w:t>
      </w:r>
    </w:p>
    <w:p w14:paraId="6D1E9615" w14:textId="24B38BEA" w:rsidR="00C5477C" w:rsidRPr="00970C3F" w:rsidRDefault="00464D3E" w:rsidP="003D0A69">
      <w:pPr>
        <w:spacing w:line="480" w:lineRule="auto"/>
        <w:rPr>
          <w:sz w:val="24"/>
          <w:szCs w:val="24"/>
        </w:rPr>
      </w:pPr>
      <w:r>
        <w:rPr>
          <w:sz w:val="24"/>
          <w:szCs w:val="24"/>
        </w:rPr>
        <w:t xml:space="preserve">The inferences we draw from financial analysis almost always assume, at least as a first approximation, that asset returns expressed in continuous units are normally distributed.  This assumption is baked into the Black-Scholes-Merton option pricing formula, determines the confidence we attach to investment strategies, </w:t>
      </w:r>
      <w:r w:rsidR="007457DD">
        <w:rPr>
          <w:sz w:val="24"/>
          <w:szCs w:val="24"/>
        </w:rPr>
        <w:t xml:space="preserve">and influences how </w:t>
      </w:r>
      <w:r w:rsidR="00160900">
        <w:rPr>
          <w:sz w:val="24"/>
          <w:szCs w:val="24"/>
        </w:rPr>
        <w:t>investors</w:t>
      </w:r>
      <w:r w:rsidR="007457DD">
        <w:rPr>
          <w:sz w:val="24"/>
          <w:szCs w:val="24"/>
        </w:rPr>
        <w:t xml:space="preserve"> contrive stress scenarios, to name but a few dependencies.  It therefore seems appropriate to consider whether the assumption of normality is a better description of returns measured in calendar </w:t>
      </w:r>
      <w:r w:rsidR="007153AB">
        <w:rPr>
          <w:sz w:val="24"/>
          <w:szCs w:val="24"/>
        </w:rPr>
        <w:t>time</w:t>
      </w:r>
      <w:r w:rsidR="007457DD">
        <w:rPr>
          <w:sz w:val="24"/>
          <w:szCs w:val="24"/>
        </w:rPr>
        <w:t xml:space="preserve"> or event </w:t>
      </w:r>
      <w:r w:rsidR="007153AB">
        <w:rPr>
          <w:sz w:val="24"/>
          <w:szCs w:val="24"/>
        </w:rPr>
        <w:t>time</w:t>
      </w:r>
      <w:r w:rsidR="007457DD">
        <w:rPr>
          <w:sz w:val="24"/>
          <w:szCs w:val="24"/>
        </w:rPr>
        <w:t>.</w:t>
      </w:r>
      <w:r w:rsidR="00F74F70">
        <w:rPr>
          <w:sz w:val="24"/>
          <w:szCs w:val="24"/>
        </w:rPr>
        <w:t xml:space="preserve"> </w:t>
      </w:r>
      <w:r w:rsidR="007457DD">
        <w:rPr>
          <w:sz w:val="24"/>
          <w:szCs w:val="24"/>
        </w:rPr>
        <w:t xml:space="preserve"> If event returns are distributed more normally than calendar returns, then in </w:t>
      </w:r>
      <w:r w:rsidR="007457DD" w:rsidRPr="00970C3F">
        <w:rPr>
          <w:sz w:val="24"/>
          <w:szCs w:val="24"/>
        </w:rPr>
        <w:t xml:space="preserve">some applications it may make more sense to base our inferences on event </w:t>
      </w:r>
      <w:r w:rsidR="007153AB">
        <w:rPr>
          <w:sz w:val="24"/>
          <w:szCs w:val="24"/>
        </w:rPr>
        <w:t>time</w:t>
      </w:r>
      <w:r w:rsidR="007457DD" w:rsidRPr="00970C3F">
        <w:rPr>
          <w:sz w:val="24"/>
          <w:szCs w:val="24"/>
        </w:rPr>
        <w:t xml:space="preserve">. </w:t>
      </w:r>
    </w:p>
    <w:p w14:paraId="49563370" w14:textId="682C164C" w:rsidR="00416C54" w:rsidRPr="00970C3F" w:rsidRDefault="00C5477C" w:rsidP="00C5477C">
      <w:pPr>
        <w:spacing w:after="200" w:line="480" w:lineRule="auto"/>
        <w:ind w:firstLine="720"/>
        <w:rPr>
          <w:rFonts w:eastAsiaTheme="minorEastAsia"/>
          <w:sz w:val="24"/>
          <w:szCs w:val="24"/>
          <w:lang w:eastAsia="zh-CN"/>
        </w:rPr>
      </w:pPr>
      <w:r w:rsidRPr="00970C3F">
        <w:rPr>
          <w:rFonts w:eastAsiaTheme="minorEastAsia"/>
          <w:sz w:val="24"/>
          <w:szCs w:val="24"/>
          <w:lang w:eastAsia="zh-CN"/>
        </w:rPr>
        <w:t>We measure daily event intensity based on the returns of 11 U.S. equity sectors</w:t>
      </w:r>
      <w:r w:rsidR="00ED2202">
        <w:rPr>
          <w:rStyle w:val="EndnoteReference"/>
          <w:rFonts w:eastAsiaTheme="minorEastAsia"/>
          <w:sz w:val="24"/>
          <w:szCs w:val="24"/>
          <w:lang w:eastAsia="zh-CN"/>
        </w:rPr>
        <w:endnoteReference w:id="2"/>
      </w:r>
      <w:r w:rsidRPr="00970C3F">
        <w:rPr>
          <w:rFonts w:eastAsiaTheme="minorEastAsia"/>
          <w:sz w:val="24"/>
          <w:szCs w:val="24"/>
          <w:lang w:eastAsia="zh-CN"/>
        </w:rPr>
        <w:t xml:space="preserve"> and their full sample means and covariances over the period March 1, 1994 through November 30, </w:t>
      </w:r>
      <w:r w:rsidRPr="00970C3F">
        <w:rPr>
          <w:rFonts w:eastAsiaTheme="minorEastAsia"/>
          <w:sz w:val="24"/>
          <w:szCs w:val="24"/>
          <w:lang w:eastAsia="zh-CN"/>
        </w:rPr>
        <w:lastRenderedPageBreak/>
        <w:t xml:space="preserve">2021. </w:t>
      </w:r>
      <w:r w:rsidR="00F74F70">
        <w:rPr>
          <w:rFonts w:eastAsiaTheme="minorEastAsia"/>
          <w:sz w:val="24"/>
          <w:szCs w:val="24"/>
          <w:lang w:eastAsia="zh-CN"/>
        </w:rPr>
        <w:t xml:space="preserve"> </w:t>
      </w:r>
      <w:r w:rsidR="00416C54" w:rsidRPr="00970C3F">
        <w:rPr>
          <w:rFonts w:eastAsiaTheme="minorEastAsia"/>
          <w:sz w:val="24"/>
          <w:szCs w:val="24"/>
          <w:lang w:eastAsia="zh-CN"/>
        </w:rPr>
        <w:t xml:space="preserve">We define </w:t>
      </w:r>
      <w:r w:rsidR="00826755" w:rsidRPr="00970C3F">
        <w:rPr>
          <w:rFonts w:eastAsiaTheme="minorEastAsia"/>
          <w:sz w:val="24"/>
          <w:szCs w:val="24"/>
          <w:lang w:eastAsia="zh-CN"/>
        </w:rPr>
        <w:t xml:space="preserve">overlapping </w:t>
      </w:r>
      <w:r w:rsidR="00416C54" w:rsidRPr="00970C3F">
        <w:rPr>
          <w:rFonts w:eastAsiaTheme="minorEastAsia"/>
          <w:sz w:val="24"/>
          <w:szCs w:val="24"/>
          <w:lang w:eastAsia="zh-CN"/>
        </w:rPr>
        <w:t xml:space="preserve">event periods using </w:t>
      </w:r>
      <w:r w:rsidR="00337D31" w:rsidRPr="00970C3F">
        <w:rPr>
          <w:rFonts w:eastAsiaTheme="minorEastAsia"/>
          <w:sz w:val="24"/>
          <w:szCs w:val="24"/>
          <w:lang w:eastAsia="zh-CN"/>
        </w:rPr>
        <w:t>an</w:t>
      </w:r>
      <w:r w:rsidR="008341F1" w:rsidRPr="00970C3F">
        <w:rPr>
          <w:rFonts w:eastAsiaTheme="minorEastAsia"/>
          <w:sz w:val="24"/>
          <w:szCs w:val="24"/>
          <w:lang w:eastAsia="zh-CN"/>
        </w:rPr>
        <w:t xml:space="preserve"> </w:t>
      </w:r>
      <w:r w:rsidR="00416C54" w:rsidRPr="00970C3F">
        <w:rPr>
          <w:rFonts w:eastAsiaTheme="minorEastAsia"/>
          <w:sz w:val="24"/>
          <w:szCs w:val="24"/>
          <w:lang w:eastAsia="zh-CN"/>
        </w:rPr>
        <w:t xml:space="preserve">event intensity threshold of 20. </w:t>
      </w:r>
      <w:r w:rsidR="00F74F70">
        <w:rPr>
          <w:rFonts w:eastAsiaTheme="minorEastAsia"/>
          <w:sz w:val="24"/>
          <w:szCs w:val="24"/>
          <w:lang w:eastAsia="zh-CN"/>
        </w:rPr>
        <w:t xml:space="preserve"> </w:t>
      </w:r>
      <w:r w:rsidR="00416C54" w:rsidRPr="00970C3F">
        <w:rPr>
          <w:rFonts w:eastAsiaTheme="minorEastAsia"/>
          <w:sz w:val="24"/>
          <w:szCs w:val="24"/>
          <w:lang w:eastAsia="zh-CN"/>
        </w:rPr>
        <w:t xml:space="preserve">Calendar time, therefore, converges to an event unit when the cumulative Mahalanobis distance of daily returns reaches 20. </w:t>
      </w:r>
      <w:r w:rsidR="002E584E">
        <w:rPr>
          <w:rFonts w:eastAsiaTheme="minorEastAsia"/>
          <w:sz w:val="24"/>
          <w:szCs w:val="24"/>
          <w:lang w:eastAsia="zh-CN"/>
        </w:rPr>
        <w:t xml:space="preserve"> </w:t>
      </w:r>
      <w:r w:rsidR="00826755" w:rsidRPr="00970C3F">
        <w:rPr>
          <w:rFonts w:eastAsiaTheme="minorEastAsia"/>
          <w:sz w:val="24"/>
          <w:szCs w:val="24"/>
          <w:lang w:eastAsia="zh-CN"/>
        </w:rPr>
        <w:t xml:space="preserve">We identify overlapping event periods by rolling the event intensity threshold forward each day. </w:t>
      </w:r>
      <w:r w:rsidR="002E584E">
        <w:rPr>
          <w:rFonts w:eastAsiaTheme="minorEastAsia"/>
          <w:sz w:val="24"/>
          <w:szCs w:val="24"/>
          <w:lang w:eastAsia="zh-CN"/>
        </w:rPr>
        <w:t xml:space="preserve"> </w:t>
      </w:r>
      <w:r w:rsidR="00586FF8" w:rsidRPr="00970C3F">
        <w:rPr>
          <w:rFonts w:eastAsiaTheme="minorEastAsia"/>
          <w:sz w:val="24"/>
          <w:szCs w:val="24"/>
          <w:lang w:eastAsia="zh-CN"/>
        </w:rPr>
        <w:t xml:space="preserve">This is </w:t>
      </w:r>
      <w:r w:rsidR="00FF5A80" w:rsidRPr="00970C3F">
        <w:rPr>
          <w:rFonts w:eastAsiaTheme="minorEastAsia"/>
          <w:sz w:val="24"/>
          <w:szCs w:val="24"/>
          <w:lang w:eastAsia="zh-CN"/>
        </w:rPr>
        <w:t>analogous</w:t>
      </w:r>
      <w:r w:rsidR="00586FF8" w:rsidRPr="00970C3F">
        <w:rPr>
          <w:rFonts w:eastAsiaTheme="minorEastAsia"/>
          <w:sz w:val="24"/>
          <w:szCs w:val="24"/>
          <w:lang w:eastAsia="zh-CN"/>
        </w:rPr>
        <w:t xml:space="preserve"> to rolling </w:t>
      </w:r>
      <w:r w:rsidR="00970C3F">
        <w:rPr>
          <w:rFonts w:eastAsiaTheme="minorEastAsia"/>
          <w:sz w:val="24"/>
          <w:szCs w:val="24"/>
          <w:lang w:eastAsia="zh-CN"/>
        </w:rPr>
        <w:t xml:space="preserve">forward </w:t>
      </w:r>
      <w:r w:rsidR="00586FF8" w:rsidRPr="00970C3F">
        <w:rPr>
          <w:rFonts w:eastAsiaTheme="minorEastAsia"/>
          <w:sz w:val="24"/>
          <w:szCs w:val="24"/>
          <w:lang w:eastAsia="zh-CN"/>
        </w:rPr>
        <w:t>a fixed calendar window</w:t>
      </w:r>
      <w:r w:rsidR="00970C3F">
        <w:rPr>
          <w:rFonts w:eastAsiaTheme="minorEastAsia"/>
          <w:sz w:val="24"/>
          <w:szCs w:val="24"/>
          <w:lang w:eastAsia="zh-CN"/>
        </w:rPr>
        <w:t>.</w:t>
      </w:r>
      <w:r w:rsidR="00586FF8" w:rsidRPr="00970C3F">
        <w:rPr>
          <w:rFonts w:eastAsiaTheme="minorEastAsia"/>
          <w:sz w:val="24"/>
          <w:szCs w:val="24"/>
          <w:lang w:eastAsia="zh-CN"/>
        </w:rPr>
        <w:t xml:space="preserve"> </w:t>
      </w:r>
      <w:r w:rsidR="00970C3F">
        <w:rPr>
          <w:rFonts w:eastAsiaTheme="minorEastAsia"/>
          <w:sz w:val="24"/>
          <w:szCs w:val="24"/>
          <w:lang w:eastAsia="zh-CN"/>
        </w:rPr>
        <w:t>H</w:t>
      </w:r>
      <w:r w:rsidR="00203BB8" w:rsidRPr="00970C3F">
        <w:rPr>
          <w:rFonts w:eastAsiaTheme="minorEastAsia"/>
          <w:sz w:val="24"/>
          <w:szCs w:val="24"/>
          <w:lang w:eastAsia="zh-CN"/>
        </w:rPr>
        <w:t>owever</w:t>
      </w:r>
      <w:r w:rsidR="00281272">
        <w:rPr>
          <w:rFonts w:eastAsiaTheme="minorEastAsia"/>
          <w:sz w:val="24"/>
          <w:szCs w:val="24"/>
          <w:lang w:eastAsia="zh-CN"/>
        </w:rPr>
        <w:t>,</w:t>
      </w:r>
      <w:r w:rsidR="00203BB8" w:rsidRPr="00970C3F">
        <w:rPr>
          <w:rFonts w:eastAsiaTheme="minorEastAsia"/>
          <w:sz w:val="24"/>
          <w:szCs w:val="24"/>
          <w:lang w:eastAsia="zh-CN"/>
        </w:rPr>
        <w:t xml:space="preserve"> </w:t>
      </w:r>
      <w:r w:rsidR="00586FF8" w:rsidRPr="00970C3F">
        <w:rPr>
          <w:rFonts w:eastAsiaTheme="minorEastAsia"/>
          <w:sz w:val="24"/>
          <w:szCs w:val="24"/>
          <w:lang w:eastAsia="zh-CN"/>
        </w:rPr>
        <w:t>in the case of event periods, the number of days in the rolling window varies based on</w:t>
      </w:r>
      <w:r w:rsidR="00FF5A80" w:rsidRPr="00970C3F">
        <w:rPr>
          <w:rFonts w:eastAsiaTheme="minorEastAsia"/>
          <w:sz w:val="24"/>
          <w:szCs w:val="24"/>
          <w:lang w:eastAsia="zh-CN"/>
        </w:rPr>
        <w:t xml:space="preserve"> cumulative event intensity. </w:t>
      </w:r>
      <w:r w:rsidR="002E584E">
        <w:rPr>
          <w:rFonts w:eastAsiaTheme="minorEastAsia"/>
          <w:sz w:val="24"/>
          <w:szCs w:val="24"/>
          <w:lang w:eastAsia="zh-CN"/>
        </w:rPr>
        <w:t xml:space="preserve"> </w:t>
      </w:r>
      <w:r w:rsidR="008341F1" w:rsidRPr="00970C3F">
        <w:rPr>
          <w:rFonts w:eastAsiaTheme="minorEastAsia"/>
          <w:sz w:val="24"/>
          <w:szCs w:val="24"/>
          <w:lang w:eastAsia="zh-CN"/>
        </w:rPr>
        <w:t xml:space="preserve">We </w:t>
      </w:r>
      <w:r w:rsidR="00826755" w:rsidRPr="00970C3F">
        <w:rPr>
          <w:rFonts w:eastAsiaTheme="minorEastAsia"/>
          <w:sz w:val="24"/>
          <w:szCs w:val="24"/>
          <w:lang w:eastAsia="zh-CN"/>
        </w:rPr>
        <w:t xml:space="preserve">focus on </w:t>
      </w:r>
      <w:r w:rsidR="008341F1" w:rsidRPr="00970C3F">
        <w:rPr>
          <w:rFonts w:eastAsiaTheme="minorEastAsia"/>
          <w:sz w:val="24"/>
          <w:szCs w:val="24"/>
          <w:lang w:eastAsia="zh-CN"/>
        </w:rPr>
        <w:t xml:space="preserve">overlapping rather than distinct event periods so that our analysis is not sensitive to the </w:t>
      </w:r>
      <w:r w:rsidR="00337D31" w:rsidRPr="00970C3F">
        <w:rPr>
          <w:rFonts w:eastAsiaTheme="minorEastAsia"/>
          <w:sz w:val="24"/>
          <w:szCs w:val="24"/>
          <w:lang w:eastAsia="zh-CN"/>
        </w:rPr>
        <w:t>start date</w:t>
      </w:r>
      <w:r w:rsidR="008341F1" w:rsidRPr="00970C3F">
        <w:rPr>
          <w:rFonts w:eastAsiaTheme="minorEastAsia"/>
          <w:sz w:val="24"/>
          <w:szCs w:val="24"/>
          <w:lang w:eastAsia="zh-CN"/>
        </w:rPr>
        <w:t>.</w:t>
      </w:r>
      <w:r w:rsidR="00482C30" w:rsidRPr="00970C3F">
        <w:rPr>
          <w:rFonts w:eastAsiaTheme="minorEastAsia"/>
          <w:sz w:val="24"/>
          <w:szCs w:val="24"/>
          <w:lang w:eastAsia="zh-CN"/>
        </w:rPr>
        <w:t xml:space="preserve"> </w:t>
      </w:r>
      <w:r w:rsidR="002E584E">
        <w:rPr>
          <w:rFonts w:eastAsiaTheme="minorEastAsia"/>
          <w:sz w:val="24"/>
          <w:szCs w:val="24"/>
          <w:lang w:eastAsia="zh-CN"/>
        </w:rPr>
        <w:t xml:space="preserve"> </w:t>
      </w:r>
      <w:r w:rsidR="00416C54" w:rsidRPr="00970C3F">
        <w:rPr>
          <w:rFonts w:eastAsiaTheme="minorEastAsia"/>
          <w:sz w:val="24"/>
          <w:szCs w:val="24"/>
          <w:lang w:eastAsia="zh-CN"/>
        </w:rPr>
        <w:t>Empirically, the average number of days for an event unit is 33 days, though individual event units will almost always correspond to fewer or greater daily units just as daily calendar returns almost always differ from their average.</w:t>
      </w:r>
    </w:p>
    <w:p w14:paraId="67FC8FB2" w14:textId="7E605F69" w:rsidR="00C5477C" w:rsidRPr="00970C3F" w:rsidRDefault="00F8192B" w:rsidP="00C5477C">
      <w:pPr>
        <w:spacing w:after="200" w:line="480" w:lineRule="auto"/>
        <w:ind w:firstLine="720"/>
        <w:rPr>
          <w:rFonts w:eastAsiaTheme="minorEastAsia"/>
          <w:sz w:val="24"/>
          <w:szCs w:val="24"/>
          <w:lang w:eastAsia="zh-CN"/>
        </w:rPr>
      </w:pPr>
      <w:bookmarkStart w:id="1" w:name="_Hlk102394250"/>
      <w:r w:rsidRPr="00970C3F">
        <w:rPr>
          <w:rFonts w:eastAsiaTheme="minorEastAsia"/>
          <w:sz w:val="24"/>
          <w:szCs w:val="24"/>
          <w:lang w:eastAsia="zh-CN"/>
        </w:rPr>
        <w:t>W</w:t>
      </w:r>
      <w:r w:rsidR="00482C30" w:rsidRPr="00970C3F">
        <w:rPr>
          <w:rFonts w:eastAsiaTheme="minorEastAsia"/>
          <w:sz w:val="24"/>
          <w:szCs w:val="24"/>
          <w:lang w:eastAsia="zh-CN"/>
        </w:rPr>
        <w:t xml:space="preserve">e measure asset </w:t>
      </w:r>
      <w:r w:rsidRPr="00970C3F">
        <w:rPr>
          <w:rFonts w:eastAsiaTheme="minorEastAsia"/>
          <w:sz w:val="24"/>
          <w:szCs w:val="24"/>
          <w:lang w:eastAsia="zh-CN"/>
        </w:rPr>
        <w:t xml:space="preserve">class </w:t>
      </w:r>
      <w:r w:rsidR="00B67924" w:rsidRPr="00970C3F">
        <w:rPr>
          <w:rFonts w:eastAsiaTheme="minorEastAsia"/>
          <w:sz w:val="24"/>
          <w:szCs w:val="24"/>
          <w:lang w:eastAsia="zh-CN"/>
        </w:rPr>
        <w:t>returns</w:t>
      </w:r>
      <w:r w:rsidR="00482C30" w:rsidRPr="00970C3F">
        <w:rPr>
          <w:rFonts w:eastAsiaTheme="minorEastAsia"/>
          <w:sz w:val="24"/>
          <w:szCs w:val="24"/>
          <w:lang w:eastAsia="zh-CN"/>
        </w:rPr>
        <w:t xml:space="preserve"> over </w:t>
      </w:r>
      <w:r w:rsidR="00B67924" w:rsidRPr="00970C3F">
        <w:rPr>
          <w:rFonts w:eastAsiaTheme="minorEastAsia"/>
          <w:sz w:val="24"/>
          <w:szCs w:val="24"/>
          <w:lang w:eastAsia="zh-CN"/>
        </w:rPr>
        <w:t>these rolling</w:t>
      </w:r>
      <w:r w:rsidR="0094402F" w:rsidRPr="00970C3F">
        <w:rPr>
          <w:rFonts w:eastAsiaTheme="minorEastAsia"/>
          <w:sz w:val="24"/>
          <w:szCs w:val="24"/>
          <w:lang w:eastAsia="zh-CN"/>
        </w:rPr>
        <w:t xml:space="preserve"> </w:t>
      </w:r>
      <w:r w:rsidR="00203BB8" w:rsidRPr="00970C3F">
        <w:rPr>
          <w:rFonts w:eastAsiaTheme="minorEastAsia"/>
          <w:sz w:val="24"/>
          <w:szCs w:val="24"/>
          <w:lang w:eastAsia="zh-CN"/>
        </w:rPr>
        <w:t>event periods</w:t>
      </w:r>
      <w:r w:rsidR="00B67924" w:rsidRPr="00970C3F">
        <w:rPr>
          <w:rFonts w:eastAsiaTheme="minorEastAsia"/>
          <w:sz w:val="24"/>
          <w:szCs w:val="24"/>
          <w:lang w:eastAsia="zh-CN"/>
        </w:rPr>
        <w:t xml:space="preserve"> and</w:t>
      </w:r>
      <w:r w:rsidR="00203BB8" w:rsidRPr="00970C3F">
        <w:rPr>
          <w:rFonts w:eastAsiaTheme="minorEastAsia"/>
          <w:sz w:val="24"/>
          <w:szCs w:val="24"/>
          <w:lang w:eastAsia="zh-CN"/>
        </w:rPr>
        <w:t xml:space="preserve"> </w:t>
      </w:r>
      <w:r w:rsidR="00B67924" w:rsidRPr="00970C3F">
        <w:rPr>
          <w:rFonts w:eastAsiaTheme="minorEastAsia"/>
          <w:sz w:val="24"/>
          <w:szCs w:val="24"/>
          <w:lang w:eastAsia="zh-CN"/>
        </w:rPr>
        <w:t xml:space="preserve">rolling </w:t>
      </w:r>
      <w:r w:rsidR="00203BB8" w:rsidRPr="00970C3F">
        <w:rPr>
          <w:rFonts w:eastAsiaTheme="minorEastAsia"/>
          <w:sz w:val="24"/>
          <w:szCs w:val="24"/>
          <w:lang w:eastAsia="zh-CN"/>
        </w:rPr>
        <w:t>33-day calendar windows</w:t>
      </w:r>
      <w:r w:rsidR="00B67924" w:rsidRPr="00970C3F">
        <w:rPr>
          <w:rFonts w:eastAsiaTheme="minorEastAsia"/>
          <w:sz w:val="24"/>
          <w:szCs w:val="24"/>
          <w:lang w:eastAsia="zh-CN"/>
        </w:rPr>
        <w:t xml:space="preserve"> to match </w:t>
      </w:r>
      <w:r w:rsidR="00203BB8" w:rsidRPr="00970C3F">
        <w:rPr>
          <w:rFonts w:eastAsiaTheme="minorEastAsia"/>
          <w:sz w:val="24"/>
          <w:szCs w:val="24"/>
          <w:lang w:eastAsia="zh-CN"/>
        </w:rPr>
        <w:t xml:space="preserve">the average number of days per event </w:t>
      </w:r>
      <w:r w:rsidR="00D53335" w:rsidRPr="00970C3F">
        <w:rPr>
          <w:rFonts w:eastAsiaTheme="minorEastAsia"/>
          <w:sz w:val="24"/>
          <w:szCs w:val="24"/>
          <w:lang w:eastAsia="zh-CN"/>
        </w:rPr>
        <w:t>period</w:t>
      </w:r>
      <w:r w:rsidR="00203BB8" w:rsidRPr="00970C3F">
        <w:rPr>
          <w:rFonts w:eastAsiaTheme="minorEastAsia"/>
          <w:sz w:val="24"/>
          <w:szCs w:val="24"/>
          <w:lang w:eastAsia="zh-CN"/>
        </w:rPr>
        <w:t xml:space="preserve">. </w:t>
      </w:r>
      <w:r w:rsidR="002E584E">
        <w:rPr>
          <w:rFonts w:eastAsiaTheme="minorEastAsia"/>
          <w:sz w:val="24"/>
          <w:szCs w:val="24"/>
          <w:lang w:eastAsia="zh-CN"/>
        </w:rPr>
        <w:t xml:space="preserve"> </w:t>
      </w:r>
      <w:r w:rsidRPr="00970C3F">
        <w:rPr>
          <w:rFonts w:eastAsiaTheme="minorEastAsia"/>
          <w:sz w:val="24"/>
          <w:szCs w:val="24"/>
          <w:lang w:eastAsia="zh-CN"/>
        </w:rPr>
        <w:t>Specifically, we consider</w:t>
      </w:r>
      <w:r w:rsidR="00482C30" w:rsidRPr="00970C3F">
        <w:rPr>
          <w:rFonts w:eastAsiaTheme="minorEastAsia"/>
          <w:sz w:val="24"/>
          <w:szCs w:val="24"/>
          <w:lang w:eastAsia="zh-CN"/>
        </w:rPr>
        <w:t xml:space="preserve"> the following</w:t>
      </w:r>
      <w:r w:rsidR="00970C3F">
        <w:rPr>
          <w:rFonts w:eastAsiaTheme="minorEastAsia"/>
          <w:sz w:val="24"/>
          <w:szCs w:val="24"/>
          <w:lang w:eastAsia="zh-CN"/>
        </w:rPr>
        <w:t xml:space="preserve"> asset classes</w:t>
      </w:r>
      <w:r w:rsidR="00482C30" w:rsidRPr="00970C3F">
        <w:rPr>
          <w:rFonts w:eastAsiaTheme="minorEastAsia"/>
          <w:sz w:val="24"/>
          <w:szCs w:val="24"/>
          <w:lang w:eastAsia="zh-CN"/>
        </w:rPr>
        <w:t>:</w:t>
      </w:r>
      <w:r w:rsidR="00ED2202">
        <w:rPr>
          <w:rStyle w:val="EndnoteReference"/>
          <w:rFonts w:eastAsiaTheme="minorEastAsia"/>
          <w:sz w:val="24"/>
          <w:szCs w:val="24"/>
          <w:lang w:eastAsia="zh-CN"/>
        </w:rPr>
        <w:endnoteReference w:id="3"/>
      </w:r>
    </w:p>
    <w:p w14:paraId="35A72BF7" w14:textId="10064314" w:rsidR="00482C30" w:rsidRPr="00970C3F" w:rsidRDefault="00482C30" w:rsidP="00482C30">
      <w:pPr>
        <w:pStyle w:val="ListParagraph"/>
        <w:numPr>
          <w:ilvl w:val="0"/>
          <w:numId w:val="18"/>
        </w:numPr>
        <w:spacing w:after="200" w:line="480" w:lineRule="auto"/>
        <w:rPr>
          <w:rFonts w:eastAsiaTheme="minorEastAsia"/>
          <w:sz w:val="24"/>
          <w:szCs w:val="24"/>
          <w:lang w:eastAsia="zh-CN"/>
        </w:rPr>
      </w:pPr>
      <w:r w:rsidRPr="00970C3F">
        <w:rPr>
          <w:rFonts w:eastAsiaTheme="minorEastAsia"/>
          <w:sz w:val="24"/>
          <w:szCs w:val="24"/>
          <w:lang w:eastAsia="zh-CN"/>
        </w:rPr>
        <w:t>U.S. Equities</w:t>
      </w:r>
      <w:r w:rsidR="00F8192B" w:rsidRPr="00970C3F">
        <w:rPr>
          <w:rFonts w:eastAsiaTheme="minorEastAsia"/>
          <w:sz w:val="24"/>
          <w:szCs w:val="24"/>
          <w:lang w:eastAsia="zh-CN"/>
        </w:rPr>
        <w:t xml:space="preserve"> – Ken French U.S. Market</w:t>
      </w:r>
    </w:p>
    <w:p w14:paraId="1378A8DB" w14:textId="113E3A32" w:rsidR="00482C30" w:rsidRPr="00970C3F" w:rsidRDefault="00482C30" w:rsidP="00482C30">
      <w:pPr>
        <w:pStyle w:val="ListParagraph"/>
        <w:numPr>
          <w:ilvl w:val="0"/>
          <w:numId w:val="18"/>
        </w:numPr>
        <w:spacing w:after="200" w:line="480" w:lineRule="auto"/>
        <w:rPr>
          <w:rFonts w:eastAsiaTheme="minorEastAsia"/>
          <w:sz w:val="24"/>
          <w:szCs w:val="24"/>
          <w:lang w:eastAsia="zh-CN"/>
        </w:rPr>
      </w:pPr>
      <w:r w:rsidRPr="00970C3F">
        <w:rPr>
          <w:rFonts w:eastAsiaTheme="minorEastAsia"/>
          <w:sz w:val="24"/>
          <w:szCs w:val="24"/>
          <w:lang w:eastAsia="zh-CN"/>
        </w:rPr>
        <w:t>U.S. Treasury Bonds</w:t>
      </w:r>
      <w:r w:rsidR="00F8192B" w:rsidRPr="00970C3F">
        <w:rPr>
          <w:rFonts w:eastAsiaTheme="minorEastAsia"/>
          <w:sz w:val="24"/>
          <w:szCs w:val="24"/>
          <w:lang w:eastAsia="zh-CN"/>
        </w:rPr>
        <w:t xml:space="preserve"> – Bloomberg Barclays U</w:t>
      </w:r>
      <w:r w:rsidR="00DF6300" w:rsidRPr="00970C3F">
        <w:rPr>
          <w:rFonts w:eastAsiaTheme="minorEastAsia"/>
          <w:sz w:val="24"/>
          <w:szCs w:val="24"/>
          <w:lang w:eastAsia="zh-CN"/>
        </w:rPr>
        <w:t>.</w:t>
      </w:r>
      <w:r w:rsidR="00F8192B" w:rsidRPr="00970C3F">
        <w:rPr>
          <w:rFonts w:eastAsiaTheme="minorEastAsia"/>
          <w:sz w:val="24"/>
          <w:szCs w:val="24"/>
          <w:lang w:eastAsia="zh-CN"/>
        </w:rPr>
        <w:t>S</w:t>
      </w:r>
      <w:r w:rsidR="00DF6300" w:rsidRPr="00970C3F">
        <w:rPr>
          <w:rFonts w:eastAsiaTheme="minorEastAsia"/>
          <w:sz w:val="24"/>
          <w:szCs w:val="24"/>
          <w:lang w:eastAsia="zh-CN"/>
        </w:rPr>
        <w:t>.</w:t>
      </w:r>
      <w:r w:rsidR="00F8192B" w:rsidRPr="00970C3F">
        <w:rPr>
          <w:rFonts w:eastAsiaTheme="minorEastAsia"/>
          <w:sz w:val="24"/>
          <w:szCs w:val="24"/>
          <w:lang w:eastAsia="zh-CN"/>
        </w:rPr>
        <w:t xml:space="preserve"> Treasury Aggregate Index</w:t>
      </w:r>
    </w:p>
    <w:p w14:paraId="336DCE9F" w14:textId="7D89F46C" w:rsidR="00482C30" w:rsidRPr="00970C3F" w:rsidRDefault="00482C30" w:rsidP="00482C30">
      <w:pPr>
        <w:pStyle w:val="ListParagraph"/>
        <w:numPr>
          <w:ilvl w:val="0"/>
          <w:numId w:val="18"/>
        </w:numPr>
        <w:spacing w:after="200" w:line="480" w:lineRule="auto"/>
        <w:rPr>
          <w:rFonts w:eastAsiaTheme="minorEastAsia"/>
          <w:sz w:val="24"/>
          <w:szCs w:val="24"/>
          <w:lang w:eastAsia="zh-CN"/>
        </w:rPr>
      </w:pPr>
      <w:r w:rsidRPr="00970C3F">
        <w:rPr>
          <w:rFonts w:eastAsiaTheme="minorEastAsia"/>
          <w:sz w:val="24"/>
          <w:szCs w:val="24"/>
          <w:lang w:eastAsia="zh-CN"/>
        </w:rPr>
        <w:t>U.S. Corporate Bonds</w:t>
      </w:r>
      <w:r w:rsidR="00DF6300" w:rsidRPr="00970C3F">
        <w:rPr>
          <w:rFonts w:eastAsiaTheme="minorEastAsia"/>
          <w:sz w:val="24"/>
          <w:szCs w:val="24"/>
          <w:lang w:eastAsia="zh-CN"/>
        </w:rPr>
        <w:t xml:space="preserve"> – Bloomberg Barclays U.S. Corporates Investment Grade Index</w:t>
      </w:r>
    </w:p>
    <w:p w14:paraId="44004238" w14:textId="18B872FB" w:rsidR="00482C30" w:rsidRPr="00970C3F" w:rsidRDefault="00482C30" w:rsidP="00482C30">
      <w:pPr>
        <w:pStyle w:val="ListParagraph"/>
        <w:numPr>
          <w:ilvl w:val="0"/>
          <w:numId w:val="18"/>
        </w:numPr>
        <w:spacing w:after="200" w:line="480" w:lineRule="auto"/>
        <w:rPr>
          <w:rFonts w:eastAsiaTheme="minorEastAsia"/>
          <w:sz w:val="24"/>
          <w:szCs w:val="24"/>
          <w:lang w:eastAsia="zh-CN"/>
        </w:rPr>
      </w:pPr>
      <w:r w:rsidRPr="00970C3F">
        <w:rPr>
          <w:rFonts w:eastAsiaTheme="minorEastAsia"/>
          <w:sz w:val="24"/>
          <w:szCs w:val="24"/>
          <w:lang w:eastAsia="zh-CN"/>
        </w:rPr>
        <w:t>Commodities</w:t>
      </w:r>
      <w:r w:rsidR="00DF6300" w:rsidRPr="00970C3F">
        <w:rPr>
          <w:rFonts w:eastAsiaTheme="minorEastAsia"/>
          <w:sz w:val="24"/>
          <w:szCs w:val="24"/>
          <w:lang w:eastAsia="zh-CN"/>
        </w:rPr>
        <w:t xml:space="preserve"> – GSCI Commodities Total Return Index</w:t>
      </w:r>
    </w:p>
    <w:p w14:paraId="02426566" w14:textId="0DD6160A" w:rsidR="00482C30" w:rsidRPr="00970C3F" w:rsidRDefault="00482C30" w:rsidP="00482C30">
      <w:pPr>
        <w:pStyle w:val="ListParagraph"/>
        <w:numPr>
          <w:ilvl w:val="0"/>
          <w:numId w:val="18"/>
        </w:numPr>
        <w:spacing w:after="200" w:line="480" w:lineRule="auto"/>
        <w:rPr>
          <w:rFonts w:eastAsiaTheme="minorEastAsia"/>
          <w:sz w:val="24"/>
          <w:szCs w:val="24"/>
          <w:lang w:eastAsia="zh-CN"/>
        </w:rPr>
      </w:pPr>
      <w:r w:rsidRPr="00970C3F">
        <w:rPr>
          <w:rFonts w:eastAsiaTheme="minorEastAsia"/>
          <w:sz w:val="24"/>
          <w:szCs w:val="24"/>
          <w:lang w:eastAsia="zh-CN"/>
        </w:rPr>
        <w:t>Multi-Asset Portfolio</w:t>
      </w:r>
      <w:r w:rsidR="00DF6300" w:rsidRPr="00970C3F">
        <w:rPr>
          <w:rFonts w:eastAsiaTheme="minorEastAsia"/>
          <w:sz w:val="24"/>
          <w:szCs w:val="24"/>
          <w:lang w:eastAsia="zh-CN"/>
        </w:rPr>
        <w:t xml:space="preserve"> – 60% U.S. Equities, 30% U.S. Aggregate Bonds (Bloomberg Barclays U.S. Aggregate Bond Index), 10% Commodities</w:t>
      </w:r>
    </w:p>
    <w:bookmarkEnd w:id="1"/>
    <w:p w14:paraId="2970A79E" w14:textId="170B559E" w:rsidR="00035330" w:rsidRPr="00970C3F" w:rsidRDefault="00494406" w:rsidP="001B1E1E">
      <w:pPr>
        <w:spacing w:line="480" w:lineRule="auto"/>
        <w:ind w:firstLine="720"/>
        <w:rPr>
          <w:sz w:val="24"/>
          <w:szCs w:val="24"/>
        </w:rPr>
      </w:pPr>
      <w:r w:rsidRPr="00970C3F">
        <w:rPr>
          <w:sz w:val="24"/>
          <w:szCs w:val="24"/>
        </w:rPr>
        <w:t xml:space="preserve">The first two panels of </w:t>
      </w:r>
      <w:r w:rsidR="007457DD" w:rsidRPr="00970C3F">
        <w:rPr>
          <w:sz w:val="24"/>
          <w:szCs w:val="24"/>
        </w:rPr>
        <w:t xml:space="preserve">Exhibit </w:t>
      </w:r>
      <w:r w:rsidR="00B10B32">
        <w:rPr>
          <w:sz w:val="24"/>
          <w:szCs w:val="24"/>
        </w:rPr>
        <w:t>4</w:t>
      </w:r>
      <w:r w:rsidR="007457DD" w:rsidRPr="00970C3F">
        <w:rPr>
          <w:sz w:val="24"/>
          <w:szCs w:val="24"/>
        </w:rPr>
        <w:t xml:space="preserve"> show </w:t>
      </w:r>
      <w:r w:rsidR="00DF6300" w:rsidRPr="00970C3F">
        <w:rPr>
          <w:sz w:val="24"/>
          <w:szCs w:val="24"/>
        </w:rPr>
        <w:t xml:space="preserve">the </w:t>
      </w:r>
      <w:r w:rsidRPr="00970C3F">
        <w:rPr>
          <w:sz w:val="24"/>
          <w:szCs w:val="24"/>
        </w:rPr>
        <w:t xml:space="preserve">skewness and kurtosis of </w:t>
      </w:r>
      <w:r w:rsidR="00DF6300" w:rsidRPr="00970C3F">
        <w:rPr>
          <w:sz w:val="24"/>
          <w:szCs w:val="24"/>
        </w:rPr>
        <w:t>asset class returns</w:t>
      </w:r>
      <w:r w:rsidR="007457DD" w:rsidRPr="00970C3F">
        <w:rPr>
          <w:sz w:val="24"/>
          <w:szCs w:val="24"/>
        </w:rPr>
        <w:t xml:space="preserve"> measured in calendar time and event time</w:t>
      </w:r>
      <w:r w:rsidRPr="00970C3F">
        <w:rPr>
          <w:sz w:val="24"/>
          <w:szCs w:val="24"/>
        </w:rPr>
        <w:t xml:space="preserve">. </w:t>
      </w:r>
      <w:r w:rsidR="002E584E">
        <w:rPr>
          <w:sz w:val="24"/>
          <w:szCs w:val="24"/>
        </w:rPr>
        <w:t xml:space="preserve"> </w:t>
      </w:r>
      <w:r w:rsidRPr="00970C3F">
        <w:rPr>
          <w:sz w:val="24"/>
          <w:szCs w:val="24"/>
        </w:rPr>
        <w:t xml:space="preserve">The rightmost panel summarizes the divergence of </w:t>
      </w:r>
      <w:r w:rsidRPr="00970C3F">
        <w:rPr>
          <w:sz w:val="24"/>
          <w:szCs w:val="24"/>
        </w:rPr>
        <w:lastRenderedPageBreak/>
        <w:t xml:space="preserve">each empirical distribution from a normal distribution with the same mean and standard deviation. </w:t>
      </w:r>
      <w:r w:rsidR="002E584E">
        <w:rPr>
          <w:sz w:val="24"/>
          <w:szCs w:val="24"/>
        </w:rPr>
        <w:t xml:space="preserve"> </w:t>
      </w:r>
      <w:r w:rsidRPr="00970C3F">
        <w:rPr>
          <w:sz w:val="24"/>
          <w:szCs w:val="24"/>
        </w:rPr>
        <w:t xml:space="preserve">We measure normal </w:t>
      </w:r>
      <w:r w:rsidR="009377D1" w:rsidRPr="00970C3F">
        <w:rPr>
          <w:sz w:val="24"/>
          <w:szCs w:val="24"/>
        </w:rPr>
        <w:t>divergence</w:t>
      </w:r>
      <w:r w:rsidRPr="00970C3F">
        <w:rPr>
          <w:sz w:val="24"/>
          <w:szCs w:val="24"/>
        </w:rPr>
        <w:t xml:space="preserve"> </w:t>
      </w:r>
      <w:r w:rsidR="001B1E1E" w:rsidRPr="00970C3F">
        <w:rPr>
          <w:sz w:val="24"/>
          <w:szCs w:val="24"/>
        </w:rPr>
        <w:t>using</w:t>
      </w:r>
      <w:r w:rsidR="009377D1" w:rsidRPr="00970C3F">
        <w:rPr>
          <w:sz w:val="24"/>
          <w:szCs w:val="24"/>
        </w:rPr>
        <w:t xml:space="preserve"> Kullback-Leibler divergence</w:t>
      </w:r>
      <w:r w:rsidR="00C467A2" w:rsidRPr="00970C3F">
        <w:rPr>
          <w:sz w:val="24"/>
          <w:szCs w:val="24"/>
        </w:rPr>
        <w:t>,</w:t>
      </w:r>
      <w:r w:rsidR="00A45858" w:rsidRPr="00970C3F">
        <w:rPr>
          <w:rStyle w:val="EndnoteReference"/>
          <w:sz w:val="24"/>
          <w:szCs w:val="24"/>
        </w:rPr>
        <w:endnoteReference w:id="4"/>
      </w:r>
      <w:r w:rsidR="00C467A2" w:rsidRPr="00970C3F">
        <w:rPr>
          <w:sz w:val="24"/>
          <w:szCs w:val="24"/>
        </w:rPr>
        <w:t xml:space="preserve"> also called </w:t>
      </w:r>
      <w:r w:rsidR="00C467A2" w:rsidRPr="00B10B32">
        <w:rPr>
          <w:sz w:val="24"/>
          <w:szCs w:val="24"/>
        </w:rPr>
        <w:t>relative entropy</w:t>
      </w:r>
      <w:r w:rsidR="00C467A2" w:rsidRPr="00970C3F">
        <w:rPr>
          <w:sz w:val="24"/>
          <w:szCs w:val="24"/>
        </w:rPr>
        <w:t xml:space="preserve">, </w:t>
      </w:r>
      <w:r w:rsidR="00093BD2">
        <w:rPr>
          <w:sz w:val="24"/>
          <w:szCs w:val="24"/>
        </w:rPr>
        <w:t>which</w:t>
      </w:r>
      <w:r w:rsidR="009377D1" w:rsidRPr="00970C3F">
        <w:rPr>
          <w:sz w:val="24"/>
          <w:szCs w:val="24"/>
        </w:rPr>
        <w:t xml:space="preserve"> measure</w:t>
      </w:r>
      <w:r w:rsidR="00093BD2">
        <w:rPr>
          <w:sz w:val="24"/>
          <w:szCs w:val="24"/>
        </w:rPr>
        <w:t>s</w:t>
      </w:r>
      <w:r w:rsidR="009377D1" w:rsidRPr="00970C3F">
        <w:rPr>
          <w:sz w:val="24"/>
          <w:szCs w:val="24"/>
        </w:rPr>
        <w:t xml:space="preserve"> how one probability distribution, </w:t>
      </w:r>
      <m:oMath>
        <m:r>
          <w:rPr>
            <w:rFonts w:ascii="Cambria Math" w:hAnsi="Cambria Math"/>
            <w:sz w:val="24"/>
            <w:szCs w:val="24"/>
          </w:rPr>
          <m:t>Q</m:t>
        </m:r>
      </m:oMath>
      <w:r w:rsidR="009377D1" w:rsidRPr="00970C3F">
        <w:rPr>
          <w:sz w:val="24"/>
          <w:szCs w:val="24"/>
        </w:rPr>
        <w:t xml:space="preserve">, differs from a reference probability distribution, </w:t>
      </w:r>
      <m:oMath>
        <m:r>
          <w:rPr>
            <w:rFonts w:ascii="Cambria Math" w:hAnsi="Cambria Math"/>
            <w:sz w:val="24"/>
            <w:szCs w:val="24"/>
          </w:rPr>
          <m:t>P</m:t>
        </m:r>
      </m:oMath>
      <w:r w:rsidR="009377D1" w:rsidRPr="00970C3F">
        <w:rPr>
          <w:sz w:val="24"/>
          <w:szCs w:val="24"/>
        </w:rPr>
        <w:t xml:space="preserve">. </w:t>
      </w:r>
      <w:r w:rsidR="002E584E">
        <w:rPr>
          <w:sz w:val="24"/>
          <w:szCs w:val="24"/>
        </w:rPr>
        <w:t xml:space="preserve"> </w:t>
      </w:r>
      <w:r w:rsidR="009377D1" w:rsidRPr="00970C3F">
        <w:rPr>
          <w:sz w:val="24"/>
          <w:szCs w:val="24"/>
        </w:rPr>
        <w:t xml:space="preserve">Typically, </w:t>
      </w:r>
      <m:oMath>
        <m:r>
          <w:rPr>
            <w:rFonts w:ascii="Cambria Math" w:hAnsi="Cambria Math"/>
            <w:sz w:val="24"/>
            <w:szCs w:val="24"/>
          </w:rPr>
          <m:t>Q</m:t>
        </m:r>
      </m:oMath>
      <w:r w:rsidR="009377D1" w:rsidRPr="00970C3F">
        <w:rPr>
          <w:sz w:val="24"/>
          <w:szCs w:val="24"/>
        </w:rPr>
        <w:t xml:space="preserve"> </w:t>
      </w:r>
      <w:r w:rsidR="0060654C" w:rsidRPr="00970C3F">
        <w:rPr>
          <w:sz w:val="24"/>
          <w:szCs w:val="24"/>
        </w:rPr>
        <w:t>corresponds</w:t>
      </w:r>
      <w:r w:rsidR="009377D1" w:rsidRPr="00970C3F">
        <w:rPr>
          <w:sz w:val="24"/>
          <w:szCs w:val="24"/>
        </w:rPr>
        <w:t xml:space="preserve"> to</w:t>
      </w:r>
      <w:r w:rsidR="0060654C" w:rsidRPr="00970C3F">
        <w:rPr>
          <w:sz w:val="24"/>
          <w:szCs w:val="24"/>
        </w:rPr>
        <w:t xml:space="preserve"> </w:t>
      </w:r>
      <w:r w:rsidR="009377D1" w:rsidRPr="00970C3F">
        <w:rPr>
          <w:sz w:val="24"/>
          <w:szCs w:val="24"/>
        </w:rPr>
        <w:t xml:space="preserve">a theoretical </w:t>
      </w:r>
      <w:r w:rsidR="0060654C" w:rsidRPr="00970C3F">
        <w:rPr>
          <w:sz w:val="24"/>
          <w:szCs w:val="24"/>
        </w:rPr>
        <w:t xml:space="preserve">distribution and </w:t>
      </w:r>
      <m:oMath>
        <m:r>
          <w:rPr>
            <w:rFonts w:ascii="Cambria Math" w:hAnsi="Cambria Math"/>
            <w:sz w:val="24"/>
            <w:szCs w:val="24"/>
          </w:rPr>
          <m:t>P</m:t>
        </m:r>
      </m:oMath>
      <w:r w:rsidR="0060654C" w:rsidRPr="00970C3F">
        <w:rPr>
          <w:sz w:val="24"/>
          <w:szCs w:val="24"/>
        </w:rPr>
        <w:t xml:space="preserve"> to a measured distribution. </w:t>
      </w:r>
      <w:r w:rsidR="002E584E">
        <w:rPr>
          <w:sz w:val="24"/>
          <w:szCs w:val="24"/>
        </w:rPr>
        <w:t xml:space="preserve"> </w:t>
      </w:r>
      <w:r w:rsidR="00EB3B5A" w:rsidRPr="00970C3F">
        <w:rPr>
          <w:sz w:val="24"/>
          <w:szCs w:val="24"/>
        </w:rPr>
        <w:t xml:space="preserve">Relative entropy </w:t>
      </w:r>
      <w:r w:rsidR="00035330" w:rsidRPr="00970C3F">
        <w:rPr>
          <w:sz w:val="24"/>
          <w:szCs w:val="24"/>
        </w:rPr>
        <w:t>is always non-negative, with zero</w:t>
      </w:r>
      <w:r w:rsidR="00EB3B5A" w:rsidRPr="00970C3F">
        <w:rPr>
          <w:sz w:val="24"/>
          <w:szCs w:val="24"/>
        </w:rPr>
        <w:t xml:space="preserve"> </w:t>
      </w:r>
      <w:r w:rsidR="00035330" w:rsidRPr="00970C3F">
        <w:rPr>
          <w:sz w:val="24"/>
          <w:szCs w:val="24"/>
        </w:rPr>
        <w:t>indicating</w:t>
      </w:r>
      <w:r w:rsidR="00035330" w:rsidRPr="00970C3F">
        <w:rPr>
          <w:rFonts w:ascii="Cambria Math" w:hAnsi="Cambria Math"/>
          <w:i/>
          <w:sz w:val="24"/>
          <w:szCs w:val="24"/>
        </w:rPr>
        <w:t xml:space="preserve"> </w:t>
      </w:r>
      <w:r w:rsidR="00EB3B5A" w:rsidRPr="00970C3F">
        <w:rPr>
          <w:sz w:val="24"/>
          <w:szCs w:val="24"/>
        </w:rPr>
        <w:t xml:space="preserve">that the two distributions contain the same </w:t>
      </w:r>
      <w:r w:rsidR="00035330" w:rsidRPr="00970C3F">
        <w:rPr>
          <w:sz w:val="24"/>
          <w:szCs w:val="24"/>
        </w:rPr>
        <w:t xml:space="preserve">quantities </w:t>
      </w:r>
      <w:r w:rsidR="00EB3B5A" w:rsidRPr="00970C3F">
        <w:rPr>
          <w:sz w:val="24"/>
          <w:szCs w:val="24"/>
        </w:rPr>
        <w:t xml:space="preserve">of information. </w:t>
      </w:r>
      <w:r w:rsidR="002E584E">
        <w:rPr>
          <w:sz w:val="24"/>
          <w:szCs w:val="24"/>
        </w:rPr>
        <w:t xml:space="preserve"> </w:t>
      </w:r>
      <w:r w:rsidR="00C16DED" w:rsidRPr="00970C3F">
        <w:rPr>
          <w:sz w:val="24"/>
          <w:szCs w:val="24"/>
        </w:rPr>
        <w:t xml:space="preserve">Relative </w:t>
      </w:r>
      <w:r w:rsidR="00E80239" w:rsidRPr="00970C3F">
        <w:rPr>
          <w:sz w:val="24"/>
          <w:szCs w:val="24"/>
        </w:rPr>
        <w:t>entropy</w:t>
      </w:r>
      <w:r w:rsidR="00C16DED" w:rsidRPr="00970C3F">
        <w:rPr>
          <w:sz w:val="24"/>
          <w:szCs w:val="24"/>
        </w:rPr>
        <w:t xml:space="preserve"> greater than zero indicates a loss of information from using </w:t>
      </w:r>
      <m:oMath>
        <m:r>
          <w:rPr>
            <w:rFonts w:ascii="Cambria Math" w:hAnsi="Cambria Math"/>
            <w:sz w:val="24"/>
            <w:szCs w:val="24"/>
          </w:rPr>
          <m:t>Q</m:t>
        </m:r>
      </m:oMath>
      <w:r w:rsidR="00C16DED" w:rsidRPr="00970C3F">
        <w:rPr>
          <w:sz w:val="24"/>
          <w:szCs w:val="24"/>
        </w:rPr>
        <w:t xml:space="preserve"> to model the true </w:t>
      </w:r>
      <w:r w:rsidR="00E80239" w:rsidRPr="00970C3F">
        <w:rPr>
          <w:sz w:val="24"/>
          <w:szCs w:val="24"/>
        </w:rPr>
        <w:t>distribution,</w:t>
      </w:r>
      <w:r w:rsidR="00C16DED" w:rsidRPr="00970C3F">
        <w:rPr>
          <w:sz w:val="24"/>
          <w:szCs w:val="24"/>
        </w:rPr>
        <w:t xml:space="preserve"> </w:t>
      </w:r>
      <m:oMath>
        <m:r>
          <w:rPr>
            <w:rFonts w:ascii="Cambria Math" w:hAnsi="Cambria Math"/>
            <w:sz w:val="24"/>
            <w:szCs w:val="24"/>
          </w:rPr>
          <m:t>P</m:t>
        </m:r>
      </m:oMath>
      <w:r w:rsidR="00C16DED" w:rsidRPr="00970C3F">
        <w:rPr>
          <w:sz w:val="24"/>
          <w:szCs w:val="24"/>
        </w:rPr>
        <w:t xml:space="preserve">. </w:t>
      </w:r>
    </w:p>
    <w:p w14:paraId="3B0C9D72" w14:textId="4C4EF2C1" w:rsidR="00220B22" w:rsidRPr="00970C3F" w:rsidRDefault="00DA5FFA" w:rsidP="0060654C">
      <w:pPr>
        <w:spacing w:line="480" w:lineRule="auto"/>
        <w:ind w:firstLine="720"/>
        <w:rPr>
          <w:sz w:val="24"/>
          <w:szCs w:val="24"/>
        </w:rPr>
      </w:pPr>
      <w:r w:rsidRPr="00970C3F">
        <w:rPr>
          <w:noProof/>
          <w:sz w:val="24"/>
          <w:szCs w:val="24"/>
        </w:rPr>
        <mc:AlternateContent>
          <mc:Choice Requires="wps">
            <w:drawing>
              <wp:anchor distT="0" distB="0" distL="114300" distR="114300" simplePos="0" relativeHeight="251659264" behindDoc="0" locked="0" layoutInCell="1" allowOverlap="1" wp14:anchorId="0BC3BCD8" wp14:editId="15F931D2">
                <wp:simplePos x="0" y="0"/>
                <wp:positionH relativeFrom="column">
                  <wp:posOffset>4096987</wp:posOffset>
                </wp:positionH>
                <wp:positionV relativeFrom="paragraph">
                  <wp:posOffset>864227</wp:posOffset>
                </wp:positionV>
                <wp:extent cx="1721922" cy="403761"/>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721922" cy="403761"/>
                        </a:xfrm>
                        <a:prstGeom prst="rect">
                          <a:avLst/>
                        </a:prstGeom>
                        <a:solidFill>
                          <a:schemeClr val="lt1"/>
                        </a:solidFill>
                        <a:ln w="6350">
                          <a:noFill/>
                        </a:ln>
                      </wps:spPr>
                      <wps:txbx>
                        <w:txbxContent>
                          <w:p w14:paraId="4375B43D" w14:textId="636322AC" w:rsidR="00DA5FFA" w:rsidRPr="00DA5FFA" w:rsidRDefault="00DA5FFA" w:rsidP="00DA5FFA">
                            <w:pPr>
                              <w:jc w:val="right"/>
                              <w:rPr>
                                <w:sz w:val="24"/>
                                <w:szCs w:val="24"/>
                              </w:rPr>
                            </w:pPr>
                            <w:r w:rsidRPr="00DA5FFA">
                              <w:rPr>
                                <w:sz w:val="24"/>
                                <w:szCs w:val="24"/>
                              </w:rPr>
                              <w:t>(</w:t>
                            </w:r>
                            <w:r w:rsidR="00FE78BE">
                              <w:rPr>
                                <w:sz w:val="24"/>
                                <w:szCs w:val="24"/>
                              </w:rPr>
                              <w:t>3</w:t>
                            </w:r>
                            <w:r w:rsidRPr="00DA5FFA">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C3BCD8" id="_x0000_t202" coordsize="21600,21600" o:spt="202" path="m,l,21600r21600,l21600,xe">
                <v:stroke joinstyle="miter"/>
                <v:path gradientshapeok="t" o:connecttype="rect"/>
              </v:shapetype>
              <v:shape id="Text Box 22" o:spid="_x0000_s1026" type="#_x0000_t202" style="position:absolute;left:0;text-align:left;margin-left:322.6pt;margin-top:68.05pt;width:135.6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" fillcolor="white [3201]" stroked="f" strokeweight=".5pt">
                <v:textbox>
                  <w:txbxContent>
                    <w:p w14:paraId="4375B43D" w14:textId="636322AC" w:rsidR="00DA5FFA" w:rsidRPr="00DA5FFA" w:rsidRDefault="00DA5FFA" w:rsidP="00DA5FFA">
                      <w:pPr>
                        <w:jc w:val="right"/>
                        <w:rPr>
                          <w:sz w:val="24"/>
                          <w:szCs w:val="24"/>
                        </w:rPr>
                      </w:pPr>
                      <w:r w:rsidRPr="00DA5FFA">
                        <w:rPr>
                          <w:sz w:val="24"/>
                          <w:szCs w:val="24"/>
                        </w:rPr>
                        <w:t>(</w:t>
                      </w:r>
                      <w:r w:rsidR="00FE78BE">
                        <w:rPr>
                          <w:sz w:val="24"/>
                          <w:szCs w:val="24"/>
                        </w:rPr>
                        <w:t>3</w:t>
                      </w:r>
                      <w:r w:rsidRPr="00DA5FFA">
                        <w:rPr>
                          <w:sz w:val="24"/>
                          <w:szCs w:val="24"/>
                        </w:rPr>
                        <w:t>)</w:t>
                      </w:r>
                    </w:p>
                  </w:txbxContent>
                </v:textbox>
              </v:shape>
            </w:pict>
          </mc:Fallback>
        </mc:AlternateContent>
      </w:r>
      <w:r w:rsidR="0060654C" w:rsidRPr="00970C3F">
        <w:rPr>
          <w:sz w:val="24"/>
          <w:szCs w:val="24"/>
        </w:rPr>
        <w:t xml:space="preserve">For discrete </w:t>
      </w:r>
      <w:r w:rsidR="00947B3A" w:rsidRPr="00970C3F">
        <w:rPr>
          <w:sz w:val="24"/>
          <w:szCs w:val="24"/>
        </w:rPr>
        <w:t>probability</w:t>
      </w:r>
      <w:r w:rsidR="0060654C" w:rsidRPr="00970C3F">
        <w:rPr>
          <w:sz w:val="24"/>
          <w:szCs w:val="24"/>
        </w:rPr>
        <w:t xml:space="preserve"> </w:t>
      </w:r>
      <w:r w:rsidR="00947B3A" w:rsidRPr="00970C3F">
        <w:rPr>
          <w:sz w:val="24"/>
          <w:szCs w:val="24"/>
        </w:rPr>
        <w:t>distributions</w:t>
      </w:r>
      <w:r w:rsidR="0060654C" w:rsidRPr="00970C3F">
        <w:rPr>
          <w:sz w:val="24"/>
          <w:szCs w:val="24"/>
        </w:rPr>
        <w:t xml:space="preserve">, </w:t>
      </w:r>
      <w:r w:rsidR="00C467A2" w:rsidRPr="00970C3F">
        <w:rPr>
          <w:sz w:val="24"/>
          <w:szCs w:val="24"/>
        </w:rPr>
        <w:t xml:space="preserve">the relative entropy from </w:t>
      </w:r>
      <m:oMath>
        <m:r>
          <w:rPr>
            <w:rFonts w:ascii="Cambria Math" w:hAnsi="Cambria Math"/>
            <w:sz w:val="24"/>
            <w:szCs w:val="24"/>
          </w:rPr>
          <m:t>Q</m:t>
        </m:r>
      </m:oMath>
      <w:r w:rsidR="00C467A2" w:rsidRPr="00970C3F">
        <w:rPr>
          <w:sz w:val="24"/>
          <w:szCs w:val="24"/>
        </w:rPr>
        <w:t xml:space="preserve"> to </w:t>
      </w:r>
      <m:oMath>
        <m:r>
          <w:rPr>
            <w:rFonts w:ascii="Cambria Math" w:hAnsi="Cambria Math"/>
            <w:sz w:val="24"/>
            <w:szCs w:val="24"/>
          </w:rPr>
          <m:t>P</m:t>
        </m:r>
      </m:oMath>
      <w:r w:rsidR="00C467A2" w:rsidRPr="00970C3F">
        <w:rPr>
          <w:sz w:val="24"/>
          <w:szCs w:val="24"/>
        </w:rPr>
        <w:t xml:space="preserve"> </w:t>
      </w:r>
      <w:r w:rsidR="00EB3B5A" w:rsidRPr="00970C3F">
        <w:rPr>
          <w:sz w:val="24"/>
          <w:szCs w:val="24"/>
        </w:rPr>
        <w:t>over a set</w:t>
      </w:r>
      <w:r w:rsidR="00B16276" w:rsidRPr="00970C3F">
        <w:rPr>
          <w:sz w:val="24"/>
          <w:szCs w:val="24"/>
        </w:rPr>
        <w:t xml:space="preserve"> </w:t>
      </w:r>
      <m:oMath>
        <m:r>
          <w:rPr>
            <w:rFonts w:ascii="Cambria Math" w:hAnsi="Cambria Math"/>
            <w:sz w:val="24"/>
            <w:szCs w:val="24"/>
          </w:rPr>
          <m:t>X</m:t>
        </m:r>
      </m:oMath>
      <w:r w:rsidR="00EB3B5A" w:rsidRPr="00970C3F">
        <w:rPr>
          <w:sz w:val="24"/>
          <w:szCs w:val="24"/>
        </w:rPr>
        <w:t xml:space="preserve"> </w:t>
      </w:r>
      <w:r w:rsidR="00C467A2" w:rsidRPr="00970C3F">
        <w:rPr>
          <w:sz w:val="24"/>
          <w:szCs w:val="24"/>
        </w:rPr>
        <w:t xml:space="preserve">is defined </w:t>
      </w:r>
      <w:r w:rsidR="0060654C" w:rsidRPr="00970C3F">
        <w:rPr>
          <w:sz w:val="24"/>
          <w:szCs w:val="24"/>
        </w:rPr>
        <w:t>as:</w:t>
      </w:r>
    </w:p>
    <w:p w14:paraId="77E0E890" w14:textId="77777777" w:rsidR="001F64DD" w:rsidRPr="00970C3F" w:rsidRDefault="00F417F3" w:rsidP="001F64DD">
      <w:pPr>
        <w:tabs>
          <w:tab w:val="left" w:pos="6480"/>
          <w:tab w:val="left" w:pos="8910"/>
          <w:tab w:val="left" w:pos="9090"/>
        </w:tabs>
        <w:spacing w:line="480" w:lineRule="auto"/>
        <w:ind w:firstLine="720"/>
        <w:jc w:val="center"/>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d>
            <m:dPr>
              <m:ctrlPr>
                <w:rPr>
                  <w:rFonts w:ascii="Cambria Math" w:hAnsi="Cambria Math"/>
                  <w:i/>
                  <w:sz w:val="24"/>
                  <w:szCs w:val="24"/>
                </w:rPr>
              </m:ctrlPr>
            </m:dPr>
            <m:e>
              <m:r>
                <w:rPr>
                  <w:rFonts w:ascii="Cambria Math" w:hAnsi="Cambria Math"/>
                  <w:sz w:val="24"/>
                  <w:szCs w:val="24"/>
                </w:rPr>
                <m:t>P</m:t>
              </m:r>
              <m:r>
                <w:rPr>
                  <w:rFonts w:ascii="Cambria Math" w:hAnsi="Cambria Math"/>
                  <w:sz w:val="24"/>
                  <w:szCs w:val="24"/>
                </w:rPr>
                <m:t>∥</m:t>
              </m:r>
              <m:r>
                <w:rPr>
                  <w:rFonts w:ascii="Cambria Math" w:hAnsi="Cambria Math"/>
                  <w:sz w:val="24"/>
                  <w:szCs w:val="24"/>
                </w:rPr>
                <m:t>Q</m:t>
              </m:r>
            </m:e>
          </m:d>
          <m:r>
            <w:rPr>
              <w:rFonts w:ascii="Cambria Math" w:hAnsi="Cambria Math"/>
              <w:sz w:val="24"/>
              <w:szCs w:val="24"/>
            </w:rPr>
            <m:t xml:space="preserve">= </m:t>
          </m:r>
          <m:nary>
            <m:naryPr>
              <m:chr m:val="∑"/>
              <m:limLoc m:val="undOvr"/>
              <m:supHide m:val="1"/>
              <m:ctrlPr>
                <w:rPr>
                  <w:rFonts w:ascii="Cambria Math" w:hAnsi="Cambria Math"/>
                  <w:i/>
                  <w:sz w:val="24"/>
                  <w:szCs w:val="24"/>
                </w:rPr>
              </m:ctrlPr>
            </m:naryPr>
            <m:sub>
              <m:r>
                <w:rPr>
                  <w:rFonts w:ascii="Cambria Math" w:hAnsi="Cambria Math"/>
                  <w:sz w:val="24"/>
                  <w:szCs w:val="24"/>
                </w:rPr>
                <m:t>x</m:t>
              </m:r>
              <m:r>
                <w:rPr>
                  <w:rFonts w:ascii="Cambria Math" w:hAnsi="Cambria Math"/>
                  <w:sz w:val="24"/>
                  <w:szCs w:val="24"/>
                </w:rPr>
                <m:t>∈</m:t>
              </m:r>
              <m:r>
                <w:rPr>
                  <w:rFonts w:ascii="Cambria Math" w:hAnsi="Cambria Math"/>
                  <w:sz w:val="24"/>
                  <w:szCs w:val="24"/>
                </w:rPr>
                <m:t>X</m:t>
              </m:r>
            </m:sub>
            <m:sup/>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log</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P</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num>
                    <m:den>
                      <m:r>
                        <w:rPr>
                          <w:rFonts w:ascii="Cambria Math" w:hAnsi="Cambria Math"/>
                          <w:sz w:val="24"/>
                          <w:szCs w:val="24"/>
                        </w:rPr>
                        <m:t>Q</m:t>
                      </m:r>
                      <m:r>
                        <w:rPr>
                          <w:rFonts w:ascii="Cambria Math" w:hAnsi="Cambria Math"/>
                          <w:sz w:val="24"/>
                          <w:szCs w:val="24"/>
                        </w:rPr>
                        <m:t>(</m:t>
                      </m:r>
                      <m:r>
                        <w:rPr>
                          <w:rFonts w:ascii="Cambria Math" w:hAnsi="Cambria Math"/>
                          <w:sz w:val="24"/>
                          <w:szCs w:val="24"/>
                        </w:rPr>
                        <m:t>x</m:t>
                      </m:r>
                      <m:r>
                        <w:rPr>
                          <w:rFonts w:ascii="Cambria Math" w:hAnsi="Cambria Math"/>
                          <w:sz w:val="24"/>
                          <w:szCs w:val="24"/>
                        </w:rPr>
                        <m:t>)</m:t>
                      </m:r>
                    </m:den>
                  </m:f>
                </m:e>
              </m:d>
            </m:e>
          </m:nary>
        </m:oMath>
      </m:oMathPara>
    </w:p>
    <w:p w14:paraId="266921E6" w14:textId="6CE5F1B4" w:rsidR="00E80239" w:rsidRDefault="008341F1" w:rsidP="001F64DD">
      <w:pPr>
        <w:tabs>
          <w:tab w:val="left" w:pos="6480"/>
          <w:tab w:val="left" w:pos="8910"/>
          <w:tab w:val="left" w:pos="9090"/>
        </w:tabs>
        <w:spacing w:line="480" w:lineRule="auto"/>
        <w:ind w:firstLine="720"/>
        <w:rPr>
          <w:sz w:val="24"/>
          <w:szCs w:val="24"/>
        </w:rPr>
      </w:pPr>
      <w:r w:rsidRPr="00970C3F">
        <w:rPr>
          <w:sz w:val="24"/>
          <w:szCs w:val="24"/>
        </w:rPr>
        <w:t xml:space="preserve">For </w:t>
      </w:r>
      <w:r w:rsidR="00337D31" w:rsidRPr="00970C3F">
        <w:rPr>
          <w:sz w:val="24"/>
          <w:szCs w:val="24"/>
        </w:rPr>
        <w:t>our</w:t>
      </w:r>
      <w:r w:rsidRPr="00970C3F">
        <w:rPr>
          <w:sz w:val="24"/>
          <w:szCs w:val="24"/>
        </w:rPr>
        <w:t xml:space="preserve"> purposes, we define </w:t>
      </w:r>
      <m:oMath>
        <m:r>
          <w:rPr>
            <w:rFonts w:ascii="Cambria Math" w:hAnsi="Cambria Math"/>
            <w:sz w:val="24"/>
            <w:szCs w:val="24"/>
          </w:rPr>
          <m:t>P</m:t>
        </m:r>
      </m:oMath>
      <w:r w:rsidRPr="00970C3F">
        <w:rPr>
          <w:sz w:val="24"/>
          <w:szCs w:val="24"/>
        </w:rPr>
        <w:t xml:space="preserve"> as </w:t>
      </w:r>
      <w:r w:rsidR="00337D31" w:rsidRPr="00970C3F">
        <w:rPr>
          <w:sz w:val="24"/>
          <w:szCs w:val="24"/>
        </w:rPr>
        <w:t xml:space="preserve">the empirical distribution of calendar or event returns for a given asset class and </w:t>
      </w:r>
      <m:oMath>
        <m:r>
          <w:rPr>
            <w:rFonts w:ascii="Cambria Math" w:hAnsi="Cambria Math"/>
            <w:sz w:val="24"/>
            <w:szCs w:val="24"/>
          </w:rPr>
          <m:t>Q</m:t>
        </m:r>
      </m:oMath>
      <w:r w:rsidR="00337D31" w:rsidRPr="00970C3F">
        <w:rPr>
          <w:sz w:val="24"/>
          <w:szCs w:val="24"/>
        </w:rPr>
        <w:t xml:space="preserve"> as a normal distribution with the same mean and standard deviation.</w:t>
      </w:r>
      <w:r w:rsidR="00337D31" w:rsidRPr="00970C3F">
        <w:rPr>
          <w:rStyle w:val="EndnoteReference"/>
          <w:sz w:val="24"/>
          <w:szCs w:val="24"/>
        </w:rPr>
        <w:endnoteReference w:id="5"/>
      </w:r>
      <w:r w:rsidR="00337D31" w:rsidRPr="00970C3F">
        <w:rPr>
          <w:sz w:val="24"/>
          <w:szCs w:val="24"/>
        </w:rPr>
        <w:t xml:space="preserve"> </w:t>
      </w:r>
      <w:r w:rsidR="004D28A3">
        <w:rPr>
          <w:sz w:val="24"/>
          <w:szCs w:val="24"/>
        </w:rPr>
        <w:t xml:space="preserve"> </w:t>
      </w:r>
      <w:r w:rsidR="00337D31" w:rsidRPr="00970C3F">
        <w:rPr>
          <w:sz w:val="24"/>
          <w:szCs w:val="24"/>
        </w:rPr>
        <w:t>We</w:t>
      </w:r>
      <w:r w:rsidRPr="00970C3F">
        <w:rPr>
          <w:sz w:val="24"/>
          <w:szCs w:val="24"/>
        </w:rPr>
        <w:t xml:space="preserve"> interpret Kullback-Leibler divergence as </w:t>
      </w:r>
      <w:r w:rsidR="00B10B32">
        <w:rPr>
          <w:sz w:val="24"/>
          <w:szCs w:val="24"/>
        </w:rPr>
        <w:t>an indication of</w:t>
      </w:r>
      <w:r w:rsidRPr="00970C3F">
        <w:rPr>
          <w:sz w:val="24"/>
          <w:szCs w:val="24"/>
        </w:rPr>
        <w:t xml:space="preserve"> whether </w:t>
      </w:r>
      <w:r w:rsidR="00337D31" w:rsidRPr="00970C3F">
        <w:rPr>
          <w:sz w:val="24"/>
          <w:szCs w:val="24"/>
        </w:rPr>
        <w:t>a</w:t>
      </w:r>
      <w:r w:rsidRPr="00970C3F">
        <w:rPr>
          <w:sz w:val="24"/>
          <w:szCs w:val="24"/>
        </w:rPr>
        <w:t xml:space="preserve"> normal distribution </w:t>
      </w:r>
      <w:r w:rsidR="007B641A" w:rsidRPr="00970C3F">
        <w:rPr>
          <w:sz w:val="24"/>
          <w:szCs w:val="24"/>
        </w:rPr>
        <w:t>reasonably approximates</w:t>
      </w:r>
      <w:r w:rsidRPr="00970C3F">
        <w:rPr>
          <w:sz w:val="24"/>
          <w:szCs w:val="24"/>
        </w:rPr>
        <w:t xml:space="preserve"> </w:t>
      </w:r>
      <w:r w:rsidR="007B641A" w:rsidRPr="00970C3F">
        <w:rPr>
          <w:sz w:val="24"/>
          <w:szCs w:val="24"/>
        </w:rPr>
        <w:t>the empirical</w:t>
      </w:r>
      <w:r w:rsidRPr="00970C3F">
        <w:rPr>
          <w:sz w:val="24"/>
          <w:szCs w:val="24"/>
        </w:rPr>
        <w:t xml:space="preserve"> return distribution. </w:t>
      </w:r>
      <w:r w:rsidR="004D28A3">
        <w:rPr>
          <w:sz w:val="24"/>
          <w:szCs w:val="24"/>
        </w:rPr>
        <w:t xml:space="preserve"> </w:t>
      </w:r>
      <w:r w:rsidRPr="00970C3F">
        <w:rPr>
          <w:sz w:val="24"/>
          <w:szCs w:val="24"/>
        </w:rPr>
        <w:t>The greater the divergence, the less normal the empirical distribution.</w:t>
      </w:r>
    </w:p>
    <w:p w14:paraId="574122B2" w14:textId="77777777" w:rsidR="004D28A3" w:rsidRPr="00970C3F" w:rsidRDefault="004D28A3" w:rsidP="001F64DD">
      <w:pPr>
        <w:tabs>
          <w:tab w:val="left" w:pos="6480"/>
          <w:tab w:val="left" w:pos="8910"/>
          <w:tab w:val="left" w:pos="9090"/>
        </w:tabs>
        <w:spacing w:line="480" w:lineRule="auto"/>
        <w:ind w:firstLine="720"/>
        <w:rPr>
          <w:sz w:val="24"/>
          <w:szCs w:val="24"/>
        </w:rPr>
      </w:pPr>
    </w:p>
    <w:p w14:paraId="787579CA" w14:textId="77777777" w:rsidR="004D28A3" w:rsidRDefault="008341F1" w:rsidP="007153AB">
      <w:pPr>
        <w:spacing w:line="480" w:lineRule="auto"/>
        <w:rPr>
          <w:sz w:val="24"/>
          <w:szCs w:val="24"/>
        </w:rPr>
      </w:pPr>
      <w:r w:rsidRPr="00970C3F">
        <w:rPr>
          <w:sz w:val="24"/>
          <w:szCs w:val="24"/>
        </w:rPr>
        <w:tab/>
      </w:r>
    </w:p>
    <w:p w14:paraId="17BA2325" w14:textId="4DCE37D0" w:rsidR="007457DD" w:rsidRPr="00970C3F" w:rsidRDefault="004D28A3" w:rsidP="0020445E">
      <w:pPr>
        <w:spacing w:line="480" w:lineRule="auto"/>
        <w:jc w:val="center"/>
        <w:rPr>
          <w:sz w:val="24"/>
          <w:szCs w:val="24"/>
        </w:rPr>
      </w:pPr>
      <w:r>
        <w:rPr>
          <w:sz w:val="24"/>
          <w:szCs w:val="24"/>
        </w:rPr>
        <w:br w:type="column"/>
      </w:r>
      <w:r w:rsidR="007457DD" w:rsidRPr="00970C3F">
        <w:rPr>
          <w:sz w:val="24"/>
          <w:szCs w:val="24"/>
        </w:rPr>
        <w:lastRenderedPageBreak/>
        <w:t xml:space="preserve">Exhibit </w:t>
      </w:r>
      <w:r w:rsidR="00B10B32">
        <w:rPr>
          <w:sz w:val="24"/>
          <w:szCs w:val="24"/>
        </w:rPr>
        <w:t>4</w:t>
      </w:r>
      <w:r w:rsidR="007457DD" w:rsidRPr="00970C3F">
        <w:rPr>
          <w:sz w:val="24"/>
          <w:szCs w:val="24"/>
        </w:rPr>
        <w:t xml:space="preserve">: </w:t>
      </w:r>
      <w:r w:rsidR="00B10B32">
        <w:rPr>
          <w:sz w:val="24"/>
          <w:szCs w:val="24"/>
        </w:rPr>
        <w:t>Normality</w:t>
      </w:r>
      <w:r w:rsidR="007457DD" w:rsidRPr="00970C3F">
        <w:rPr>
          <w:sz w:val="24"/>
          <w:szCs w:val="24"/>
        </w:rPr>
        <w:t xml:space="preserve"> of </w:t>
      </w:r>
      <w:r w:rsidR="0023147C" w:rsidRPr="00970C3F">
        <w:rPr>
          <w:sz w:val="24"/>
          <w:szCs w:val="24"/>
        </w:rPr>
        <w:t>Asset Class</w:t>
      </w:r>
      <w:r w:rsidR="007457DD" w:rsidRPr="00970C3F">
        <w:rPr>
          <w:sz w:val="24"/>
          <w:szCs w:val="24"/>
        </w:rPr>
        <w:t xml:space="preserve"> Returns in Calendar Time and Event Time</w:t>
      </w:r>
    </w:p>
    <w:p w14:paraId="45D4E562" w14:textId="36A2EC9C" w:rsidR="007457DD" w:rsidRPr="00970C3F" w:rsidRDefault="00B61227" w:rsidP="007457DD">
      <w:pPr>
        <w:spacing w:line="480" w:lineRule="auto"/>
        <w:jc w:val="center"/>
        <w:rPr>
          <w:sz w:val="24"/>
          <w:szCs w:val="24"/>
        </w:rPr>
      </w:pPr>
      <w:r w:rsidRPr="00970C3F">
        <w:rPr>
          <w:noProof/>
        </w:rPr>
        <w:drawing>
          <wp:inline distT="0" distB="0" distL="0" distR="0" wp14:anchorId="5E7D5B14" wp14:editId="78C78D9C">
            <wp:extent cx="5943600" cy="13792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379220"/>
                    </a:xfrm>
                    <a:prstGeom prst="rect">
                      <a:avLst/>
                    </a:prstGeom>
                    <a:noFill/>
                    <a:ln>
                      <a:noFill/>
                    </a:ln>
                  </pic:spPr>
                </pic:pic>
              </a:graphicData>
            </a:graphic>
          </wp:inline>
        </w:drawing>
      </w:r>
      <w:r w:rsidRPr="00970C3F">
        <w:rPr>
          <w:noProof/>
        </w:rPr>
        <w:t xml:space="preserve"> </w:t>
      </w:r>
    </w:p>
    <w:p w14:paraId="2234D20E" w14:textId="5B16769A" w:rsidR="00220B22" w:rsidRDefault="00220B22" w:rsidP="007153AB">
      <w:pPr>
        <w:spacing w:line="480" w:lineRule="auto"/>
        <w:rPr>
          <w:sz w:val="24"/>
          <w:szCs w:val="24"/>
        </w:rPr>
      </w:pPr>
      <w:r w:rsidRPr="00970C3F">
        <w:rPr>
          <w:sz w:val="24"/>
          <w:szCs w:val="24"/>
        </w:rPr>
        <w:tab/>
        <w:t xml:space="preserve">Exhibit </w:t>
      </w:r>
      <w:r w:rsidR="00B10B32">
        <w:rPr>
          <w:sz w:val="24"/>
          <w:szCs w:val="24"/>
        </w:rPr>
        <w:t>4</w:t>
      </w:r>
      <w:r w:rsidRPr="00970C3F">
        <w:rPr>
          <w:sz w:val="24"/>
          <w:szCs w:val="24"/>
        </w:rPr>
        <w:t xml:space="preserve"> starkly reveals that event returns, in which event intensity is estimated from </w:t>
      </w:r>
      <w:r w:rsidR="00B61227" w:rsidRPr="00970C3F">
        <w:rPr>
          <w:sz w:val="24"/>
          <w:szCs w:val="24"/>
        </w:rPr>
        <w:t>sector returns</w:t>
      </w:r>
      <w:r w:rsidRPr="00970C3F">
        <w:rPr>
          <w:sz w:val="24"/>
          <w:szCs w:val="24"/>
        </w:rPr>
        <w:t xml:space="preserve">, are </w:t>
      </w:r>
      <w:r w:rsidR="007F291F" w:rsidRPr="00970C3F">
        <w:rPr>
          <w:sz w:val="24"/>
          <w:szCs w:val="24"/>
        </w:rPr>
        <w:t>distributed more normally</w:t>
      </w:r>
      <w:r w:rsidRPr="00970C3F">
        <w:rPr>
          <w:sz w:val="24"/>
          <w:szCs w:val="24"/>
        </w:rPr>
        <w:t xml:space="preserve"> than calendar returns</w:t>
      </w:r>
      <w:r w:rsidR="00B10B32">
        <w:rPr>
          <w:sz w:val="24"/>
          <w:szCs w:val="24"/>
        </w:rPr>
        <w:t>, on balance</w:t>
      </w:r>
      <w:r w:rsidRPr="00970C3F">
        <w:rPr>
          <w:sz w:val="24"/>
          <w:szCs w:val="24"/>
        </w:rPr>
        <w:t>.</w:t>
      </w:r>
      <w:r w:rsidR="00B61227" w:rsidRPr="00970C3F">
        <w:rPr>
          <w:sz w:val="24"/>
          <w:szCs w:val="24"/>
        </w:rPr>
        <w:t xml:space="preserve">  </w:t>
      </w:r>
      <w:r w:rsidRPr="00970C3F">
        <w:rPr>
          <w:sz w:val="24"/>
          <w:szCs w:val="24"/>
        </w:rPr>
        <w:t xml:space="preserve">Exhibit </w:t>
      </w:r>
      <w:r w:rsidR="00093BD2">
        <w:rPr>
          <w:sz w:val="24"/>
          <w:szCs w:val="24"/>
        </w:rPr>
        <w:t>5</w:t>
      </w:r>
      <w:r w:rsidRPr="00970C3F">
        <w:rPr>
          <w:sz w:val="24"/>
          <w:szCs w:val="24"/>
        </w:rPr>
        <w:t xml:space="preserve"> offers visual support of this observation</w:t>
      </w:r>
      <w:r w:rsidR="00B61227" w:rsidRPr="00970C3F">
        <w:rPr>
          <w:sz w:val="24"/>
          <w:szCs w:val="24"/>
        </w:rPr>
        <w:t xml:space="preserve"> </w:t>
      </w:r>
      <w:r w:rsidR="00726ED9" w:rsidRPr="00970C3F">
        <w:rPr>
          <w:sz w:val="24"/>
          <w:szCs w:val="24"/>
        </w:rPr>
        <w:t xml:space="preserve">using the multi-asset portfolio as an example. </w:t>
      </w:r>
      <w:r w:rsidR="004D28A3">
        <w:rPr>
          <w:sz w:val="24"/>
          <w:szCs w:val="24"/>
        </w:rPr>
        <w:t xml:space="preserve"> </w:t>
      </w:r>
      <w:r w:rsidR="00726ED9" w:rsidRPr="00970C3F">
        <w:rPr>
          <w:sz w:val="24"/>
          <w:szCs w:val="24"/>
        </w:rPr>
        <w:t xml:space="preserve">We plot the left tail of calendar returns (left panel) and event returns (right panel) along with the </w:t>
      </w:r>
      <w:r w:rsidR="00B10B32">
        <w:rPr>
          <w:sz w:val="24"/>
          <w:szCs w:val="24"/>
        </w:rPr>
        <w:t xml:space="preserve">left tail of the </w:t>
      </w:r>
      <w:r w:rsidR="00726ED9" w:rsidRPr="00970C3F">
        <w:rPr>
          <w:sz w:val="24"/>
          <w:szCs w:val="24"/>
        </w:rPr>
        <w:t>normal distribution.</w:t>
      </w:r>
      <w:r w:rsidR="00386C1D" w:rsidRPr="00970C3F">
        <w:rPr>
          <w:rStyle w:val="EndnoteReference"/>
          <w:sz w:val="24"/>
          <w:szCs w:val="24"/>
        </w:rPr>
        <w:endnoteReference w:id="6"/>
      </w:r>
      <w:r w:rsidR="00726ED9" w:rsidRPr="00970C3F">
        <w:rPr>
          <w:sz w:val="24"/>
          <w:szCs w:val="24"/>
        </w:rPr>
        <w:t xml:space="preserve"> </w:t>
      </w:r>
      <w:r w:rsidR="004D28A3">
        <w:rPr>
          <w:sz w:val="24"/>
          <w:szCs w:val="24"/>
        </w:rPr>
        <w:t xml:space="preserve"> </w:t>
      </w:r>
      <w:r w:rsidR="00726ED9" w:rsidRPr="00970C3F">
        <w:rPr>
          <w:sz w:val="24"/>
          <w:szCs w:val="24"/>
        </w:rPr>
        <w:t>We focus on the left tail to help visualize the differences in negative ske</w:t>
      </w:r>
      <w:r w:rsidR="00386C1D" w:rsidRPr="00970C3F">
        <w:rPr>
          <w:sz w:val="24"/>
          <w:szCs w:val="24"/>
        </w:rPr>
        <w:t>w</w:t>
      </w:r>
      <w:r w:rsidR="00726ED9" w:rsidRPr="00970C3F">
        <w:rPr>
          <w:sz w:val="24"/>
          <w:szCs w:val="24"/>
        </w:rPr>
        <w:t xml:space="preserve">ness and fat tails (kurtosis) </w:t>
      </w:r>
      <w:r w:rsidR="00FC7EDB" w:rsidRPr="00970C3F">
        <w:rPr>
          <w:sz w:val="24"/>
          <w:szCs w:val="24"/>
        </w:rPr>
        <w:t>for</w:t>
      </w:r>
      <w:r w:rsidR="00726ED9" w:rsidRPr="00970C3F">
        <w:rPr>
          <w:sz w:val="24"/>
          <w:szCs w:val="24"/>
        </w:rPr>
        <w:t xml:space="preserve"> calendar and event returns</w:t>
      </w:r>
      <w:r w:rsidR="00386C1D" w:rsidRPr="00970C3F">
        <w:rPr>
          <w:sz w:val="24"/>
          <w:szCs w:val="24"/>
        </w:rPr>
        <w:t>.</w:t>
      </w:r>
    </w:p>
    <w:p w14:paraId="334930DB" w14:textId="77777777" w:rsidR="004D28A3" w:rsidRDefault="004D28A3" w:rsidP="00220B22">
      <w:pPr>
        <w:spacing w:line="480" w:lineRule="auto"/>
        <w:jc w:val="center"/>
        <w:rPr>
          <w:sz w:val="24"/>
          <w:szCs w:val="24"/>
        </w:rPr>
      </w:pPr>
    </w:p>
    <w:p w14:paraId="7F41CB1E" w14:textId="77777777" w:rsidR="00B10B32" w:rsidRPr="00B10B32" w:rsidRDefault="00220B22" w:rsidP="00B10B32">
      <w:pPr>
        <w:spacing w:line="240" w:lineRule="auto"/>
        <w:jc w:val="center"/>
        <w:rPr>
          <w:sz w:val="24"/>
          <w:szCs w:val="24"/>
        </w:rPr>
      </w:pPr>
      <w:r w:rsidRPr="00B10B32">
        <w:rPr>
          <w:sz w:val="24"/>
          <w:szCs w:val="24"/>
        </w:rPr>
        <w:t xml:space="preserve">Exhibit </w:t>
      </w:r>
      <w:r w:rsidR="00B10B32" w:rsidRPr="00B10B32">
        <w:rPr>
          <w:sz w:val="24"/>
          <w:szCs w:val="24"/>
        </w:rPr>
        <w:t>5</w:t>
      </w:r>
      <w:r w:rsidRPr="00B10B32">
        <w:rPr>
          <w:sz w:val="24"/>
          <w:szCs w:val="24"/>
        </w:rPr>
        <w:t xml:space="preserve">: </w:t>
      </w:r>
      <w:r w:rsidR="0033498E" w:rsidRPr="00B10B32">
        <w:rPr>
          <w:sz w:val="24"/>
          <w:szCs w:val="24"/>
        </w:rPr>
        <w:t>5</w:t>
      </w:r>
      <w:r w:rsidR="00B10B32" w:rsidRPr="00B10B32">
        <w:rPr>
          <w:sz w:val="24"/>
          <w:szCs w:val="24"/>
          <w:vertAlign w:val="superscript"/>
        </w:rPr>
        <w:t>th</w:t>
      </w:r>
      <w:r w:rsidR="00B10B32" w:rsidRPr="00B10B32">
        <w:rPr>
          <w:sz w:val="24"/>
          <w:szCs w:val="24"/>
        </w:rPr>
        <w:t xml:space="preserve"> Percentile</w:t>
      </w:r>
      <w:r w:rsidR="0033498E" w:rsidRPr="00B10B32">
        <w:rPr>
          <w:sz w:val="24"/>
          <w:szCs w:val="24"/>
        </w:rPr>
        <w:t xml:space="preserve"> Left Tail of </w:t>
      </w:r>
      <w:r w:rsidRPr="00B10B32">
        <w:rPr>
          <w:sz w:val="24"/>
          <w:szCs w:val="24"/>
        </w:rPr>
        <w:t>Calendar Return and Event Return Distributions</w:t>
      </w:r>
      <w:r w:rsidR="00B10B32" w:rsidRPr="00B10B32">
        <w:rPr>
          <w:sz w:val="24"/>
          <w:szCs w:val="24"/>
        </w:rPr>
        <w:t>:</w:t>
      </w:r>
    </w:p>
    <w:p w14:paraId="6068A09F" w14:textId="7C123A16" w:rsidR="0033498E" w:rsidRPr="00B10B32" w:rsidRDefault="0033498E" w:rsidP="00B10B32">
      <w:pPr>
        <w:spacing w:line="240" w:lineRule="auto"/>
        <w:jc w:val="center"/>
        <w:rPr>
          <w:sz w:val="24"/>
          <w:szCs w:val="24"/>
        </w:rPr>
      </w:pPr>
      <w:r w:rsidRPr="00B10B32">
        <w:rPr>
          <w:sz w:val="24"/>
          <w:szCs w:val="24"/>
        </w:rPr>
        <w:t xml:space="preserve"> Multi-Asset Portfolio</w:t>
      </w:r>
    </w:p>
    <w:p w14:paraId="3B4CECE1" w14:textId="47A41237" w:rsidR="0033498E" w:rsidRPr="00B10B32" w:rsidRDefault="0033498E" w:rsidP="0033498E">
      <w:pPr>
        <w:spacing w:after="0" w:line="240" w:lineRule="auto"/>
        <w:ind w:left="720" w:firstLine="720"/>
        <w:rPr>
          <w:sz w:val="24"/>
          <w:szCs w:val="24"/>
        </w:rPr>
      </w:pPr>
      <w:r w:rsidRPr="00B10B32">
        <w:rPr>
          <w:sz w:val="24"/>
          <w:szCs w:val="24"/>
        </w:rPr>
        <w:t>Calendar Returns</w:t>
      </w:r>
      <w:r w:rsidRPr="00B10B32">
        <w:rPr>
          <w:sz w:val="24"/>
          <w:szCs w:val="24"/>
        </w:rPr>
        <w:tab/>
      </w:r>
      <w:r w:rsidRPr="00B10B32">
        <w:rPr>
          <w:sz w:val="24"/>
          <w:szCs w:val="24"/>
        </w:rPr>
        <w:tab/>
      </w:r>
      <w:r w:rsidRPr="00B10B32">
        <w:rPr>
          <w:sz w:val="24"/>
          <w:szCs w:val="24"/>
        </w:rPr>
        <w:tab/>
      </w:r>
      <w:r w:rsidRPr="00B10B32">
        <w:rPr>
          <w:sz w:val="24"/>
          <w:szCs w:val="24"/>
        </w:rPr>
        <w:tab/>
        <w:t>Event Returns</w:t>
      </w:r>
    </w:p>
    <w:p w14:paraId="6BC2DA51" w14:textId="6F719847" w:rsidR="0023147C" w:rsidRPr="00B10B32" w:rsidRDefault="0023147C" w:rsidP="0033498E">
      <w:pPr>
        <w:spacing w:line="480" w:lineRule="auto"/>
        <w:rPr>
          <w:sz w:val="24"/>
          <w:szCs w:val="24"/>
        </w:rPr>
      </w:pPr>
      <w:r w:rsidRPr="00B10B32">
        <w:rPr>
          <w:noProof/>
          <w:sz w:val="24"/>
          <w:szCs w:val="24"/>
        </w:rPr>
        <w:drawing>
          <wp:inline distT="0" distB="0" distL="0" distR="0" wp14:anchorId="374B2649" wp14:editId="3436A91A">
            <wp:extent cx="2838450" cy="2190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38450" cy="2190750"/>
                    </a:xfrm>
                    <a:prstGeom prst="rect">
                      <a:avLst/>
                    </a:prstGeom>
                    <a:noFill/>
                    <a:ln>
                      <a:noFill/>
                    </a:ln>
                  </pic:spPr>
                </pic:pic>
              </a:graphicData>
            </a:graphic>
          </wp:inline>
        </w:drawing>
      </w:r>
      <w:r w:rsidR="0033498E" w:rsidRPr="00B10B32">
        <w:rPr>
          <w:noProof/>
          <w:sz w:val="24"/>
          <w:szCs w:val="24"/>
        </w:rPr>
        <w:drawing>
          <wp:inline distT="0" distB="0" distL="0" distR="0" wp14:anchorId="3177CFE0" wp14:editId="7235B306">
            <wp:extent cx="2838450" cy="2190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8450" cy="2190750"/>
                    </a:xfrm>
                    <a:prstGeom prst="rect">
                      <a:avLst/>
                    </a:prstGeom>
                    <a:noFill/>
                    <a:ln>
                      <a:noFill/>
                    </a:ln>
                  </pic:spPr>
                </pic:pic>
              </a:graphicData>
            </a:graphic>
          </wp:inline>
        </w:drawing>
      </w:r>
    </w:p>
    <w:p w14:paraId="753324A9" w14:textId="16A09CE9" w:rsidR="008A3CFA" w:rsidRPr="0086717E" w:rsidRDefault="0086717E" w:rsidP="008A3CFA">
      <w:pPr>
        <w:spacing w:line="480" w:lineRule="auto"/>
        <w:rPr>
          <w:rFonts w:eastAsiaTheme="minorEastAsia"/>
          <w:bCs/>
          <w:color w:val="000000" w:themeColor="text1"/>
          <w:kern w:val="24"/>
          <w:sz w:val="24"/>
          <w:szCs w:val="24"/>
          <w:u w:val="single"/>
        </w:rPr>
      </w:pPr>
      <w:r w:rsidRPr="0086717E">
        <w:rPr>
          <w:rFonts w:eastAsiaTheme="minorEastAsia"/>
          <w:bCs/>
          <w:color w:val="000000" w:themeColor="text1"/>
          <w:kern w:val="24"/>
          <w:sz w:val="24"/>
          <w:szCs w:val="24"/>
          <w:u w:val="single"/>
        </w:rPr>
        <w:lastRenderedPageBreak/>
        <w:t>Bivariate Perspective</w:t>
      </w:r>
    </w:p>
    <w:p w14:paraId="36DEFCC5" w14:textId="4B80B248" w:rsidR="009B63E9" w:rsidRPr="00B10B32" w:rsidRDefault="00B10B32" w:rsidP="007078B2">
      <w:pPr>
        <w:spacing w:line="480" w:lineRule="auto"/>
        <w:rPr>
          <w:rFonts w:eastAsiaTheme="minorEastAsia"/>
          <w:bCs/>
          <w:color w:val="000000" w:themeColor="text1"/>
          <w:kern w:val="24"/>
          <w:sz w:val="24"/>
          <w:szCs w:val="24"/>
        </w:rPr>
      </w:pPr>
      <w:r>
        <w:rPr>
          <w:rFonts w:eastAsiaTheme="minorEastAsia"/>
          <w:bCs/>
          <w:color w:val="000000" w:themeColor="text1"/>
          <w:kern w:val="24"/>
          <w:sz w:val="24"/>
          <w:szCs w:val="24"/>
        </w:rPr>
        <w:t>So far</w:t>
      </w:r>
      <w:r w:rsidR="00281272">
        <w:rPr>
          <w:rFonts w:eastAsiaTheme="minorEastAsia"/>
          <w:bCs/>
          <w:color w:val="000000" w:themeColor="text1"/>
          <w:kern w:val="24"/>
          <w:sz w:val="24"/>
          <w:szCs w:val="24"/>
        </w:rPr>
        <w:t>,</w:t>
      </w:r>
      <w:r>
        <w:rPr>
          <w:rFonts w:eastAsiaTheme="minorEastAsia"/>
          <w:bCs/>
          <w:color w:val="000000" w:themeColor="text1"/>
          <w:kern w:val="24"/>
          <w:sz w:val="24"/>
          <w:szCs w:val="24"/>
        </w:rPr>
        <w:t xml:space="preserve"> we have provided persuasive evidence that the returns of major asset classes are much better </w:t>
      </w:r>
      <w:r w:rsidR="00281272">
        <w:rPr>
          <w:rFonts w:eastAsiaTheme="minorEastAsia"/>
          <w:bCs/>
          <w:color w:val="000000" w:themeColor="text1"/>
          <w:kern w:val="24"/>
          <w:sz w:val="24"/>
          <w:szCs w:val="24"/>
        </w:rPr>
        <w:t>approximated</w:t>
      </w:r>
      <w:r>
        <w:rPr>
          <w:rFonts w:eastAsiaTheme="minorEastAsia"/>
          <w:bCs/>
          <w:color w:val="000000" w:themeColor="text1"/>
          <w:kern w:val="24"/>
          <w:sz w:val="24"/>
          <w:szCs w:val="24"/>
        </w:rPr>
        <w:t xml:space="preserve"> by a normal distribution when they are measured in event units as opposed to calendar units.  Next</w:t>
      </w:r>
      <w:r w:rsidR="00281272">
        <w:rPr>
          <w:rFonts w:eastAsiaTheme="minorEastAsia"/>
          <w:bCs/>
          <w:color w:val="000000" w:themeColor="text1"/>
          <w:kern w:val="24"/>
          <w:sz w:val="24"/>
          <w:szCs w:val="24"/>
        </w:rPr>
        <w:t>,</w:t>
      </w:r>
      <w:r>
        <w:rPr>
          <w:rFonts w:eastAsiaTheme="minorEastAsia"/>
          <w:bCs/>
          <w:color w:val="000000" w:themeColor="text1"/>
          <w:kern w:val="24"/>
          <w:sz w:val="24"/>
          <w:szCs w:val="24"/>
        </w:rPr>
        <w:t xml:space="preserve"> we show that </w:t>
      </w:r>
      <w:r w:rsidR="00281272">
        <w:rPr>
          <w:rFonts w:eastAsiaTheme="minorEastAsia"/>
          <w:bCs/>
          <w:color w:val="000000" w:themeColor="text1"/>
          <w:kern w:val="24"/>
          <w:sz w:val="24"/>
          <w:szCs w:val="24"/>
        </w:rPr>
        <w:t>the co-movement of asset class returns is more stable when their returns are measured in event units rather than calendar units.</w:t>
      </w:r>
    </w:p>
    <w:p w14:paraId="4573C9BB" w14:textId="23444142" w:rsidR="008F20C5" w:rsidRPr="00281272" w:rsidRDefault="00DA5FFA" w:rsidP="007078B2">
      <w:pPr>
        <w:spacing w:line="480" w:lineRule="auto"/>
        <w:ind w:firstLine="720"/>
        <w:rPr>
          <w:rFonts w:eastAsiaTheme="minorEastAsia"/>
          <w:bCs/>
          <w:color w:val="000000" w:themeColor="text1"/>
          <w:kern w:val="24"/>
          <w:sz w:val="24"/>
          <w:szCs w:val="24"/>
        </w:rPr>
      </w:pPr>
      <w:r w:rsidRPr="00281272">
        <w:rPr>
          <w:noProof/>
          <w:sz w:val="24"/>
          <w:szCs w:val="24"/>
        </w:rPr>
        <mc:AlternateContent>
          <mc:Choice Requires="wps">
            <w:drawing>
              <wp:anchor distT="0" distB="0" distL="114300" distR="114300" simplePos="0" relativeHeight="251661312" behindDoc="0" locked="0" layoutInCell="1" allowOverlap="1" wp14:anchorId="74E202F4" wp14:editId="51655DE8">
                <wp:simplePos x="0" y="0"/>
                <wp:positionH relativeFrom="margin">
                  <wp:posOffset>4286992</wp:posOffset>
                </wp:positionH>
                <wp:positionV relativeFrom="paragraph">
                  <wp:posOffset>1001543</wp:posOffset>
                </wp:positionV>
                <wp:extent cx="1626920" cy="356259"/>
                <wp:effectExtent l="0" t="0" r="0" b="5715"/>
                <wp:wrapNone/>
                <wp:docPr id="23" name="Text Box 23"/>
                <wp:cNvGraphicFramePr/>
                <a:graphic xmlns:a="http://schemas.openxmlformats.org/drawingml/2006/main">
                  <a:graphicData uri="http://schemas.microsoft.com/office/word/2010/wordprocessingShape">
                    <wps:wsp>
                      <wps:cNvSpPr txBox="1"/>
                      <wps:spPr>
                        <a:xfrm>
                          <a:off x="0" y="0"/>
                          <a:ext cx="1626920" cy="356259"/>
                        </a:xfrm>
                        <a:prstGeom prst="rect">
                          <a:avLst/>
                        </a:prstGeom>
                        <a:solidFill>
                          <a:schemeClr val="lt1"/>
                        </a:solidFill>
                        <a:ln w="6350">
                          <a:noFill/>
                        </a:ln>
                      </wps:spPr>
                      <wps:txbx>
                        <w:txbxContent>
                          <w:p w14:paraId="7C7A29C7" w14:textId="4DCAD18D" w:rsidR="00DA5FFA" w:rsidRPr="00DA5FFA" w:rsidRDefault="00DA5FFA" w:rsidP="00DA5FFA">
                            <w:pPr>
                              <w:jc w:val="right"/>
                              <w:rPr>
                                <w:sz w:val="24"/>
                                <w:szCs w:val="24"/>
                              </w:rPr>
                            </w:pPr>
                            <w:r w:rsidRPr="00DA5FFA">
                              <w:rPr>
                                <w:sz w:val="24"/>
                                <w:szCs w:val="24"/>
                              </w:rPr>
                              <w:t>(</w:t>
                            </w:r>
                            <w:r w:rsidR="00FE78BE">
                              <w:rPr>
                                <w:sz w:val="24"/>
                                <w:szCs w:val="24"/>
                              </w:rPr>
                              <w:t>4</w:t>
                            </w:r>
                            <w:r w:rsidRPr="00DA5FFA">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202F4" id="Text Box 23" o:spid="_x0000_s1027" type="#_x0000_t202" style="position:absolute;left:0;text-align:left;margin-left:337.55pt;margin-top:78.85pt;width:128.1pt;height:2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" fillcolor="white [3201]" stroked="f" strokeweight=".5pt">
                <v:textbox>
                  <w:txbxContent>
                    <w:p w14:paraId="7C7A29C7" w14:textId="4DCAD18D" w:rsidR="00DA5FFA" w:rsidRPr="00DA5FFA" w:rsidRDefault="00DA5FFA" w:rsidP="00DA5FFA">
                      <w:pPr>
                        <w:jc w:val="right"/>
                        <w:rPr>
                          <w:sz w:val="24"/>
                          <w:szCs w:val="24"/>
                        </w:rPr>
                      </w:pPr>
                      <w:r w:rsidRPr="00DA5FFA">
                        <w:rPr>
                          <w:sz w:val="24"/>
                          <w:szCs w:val="24"/>
                        </w:rPr>
                        <w:t>(</w:t>
                      </w:r>
                      <w:r w:rsidR="00FE78BE">
                        <w:rPr>
                          <w:sz w:val="24"/>
                          <w:szCs w:val="24"/>
                        </w:rPr>
                        <w:t>4</w:t>
                      </w:r>
                      <w:r w:rsidRPr="00DA5FFA">
                        <w:rPr>
                          <w:sz w:val="24"/>
                          <w:szCs w:val="24"/>
                        </w:rPr>
                        <w:t>)</w:t>
                      </w:r>
                    </w:p>
                  </w:txbxContent>
                </v:textbox>
                <w10:wrap anchorx="margin"/>
              </v:shape>
            </w:pict>
          </mc:Fallback>
        </mc:AlternateContent>
      </w:r>
      <w:r w:rsidR="009B63E9" w:rsidRPr="00281272">
        <w:rPr>
          <w:rFonts w:eastAsiaTheme="minorEastAsia"/>
          <w:bCs/>
          <w:color w:val="000000" w:themeColor="text1"/>
          <w:kern w:val="24"/>
          <w:sz w:val="24"/>
          <w:szCs w:val="24"/>
        </w:rPr>
        <w:t>Czasonis, Kritzman, Turkington (2022) introduce</w:t>
      </w:r>
      <w:r w:rsidR="00281272" w:rsidRPr="00281272">
        <w:rPr>
          <w:rFonts w:eastAsiaTheme="minorEastAsia"/>
          <w:bCs/>
          <w:color w:val="000000" w:themeColor="text1"/>
          <w:kern w:val="24"/>
          <w:sz w:val="24"/>
          <w:szCs w:val="24"/>
        </w:rPr>
        <w:t>d</w:t>
      </w:r>
      <w:r w:rsidR="009B63E9" w:rsidRPr="00281272">
        <w:rPr>
          <w:rFonts w:eastAsiaTheme="minorEastAsia"/>
          <w:bCs/>
          <w:color w:val="000000" w:themeColor="text1"/>
          <w:kern w:val="24"/>
          <w:sz w:val="24"/>
          <w:szCs w:val="24"/>
        </w:rPr>
        <w:t xml:space="preserve"> a measure of co-occurrence that captures the co-movement of the cumulative returns of two assets over a single period:</w:t>
      </w:r>
    </w:p>
    <w:p w14:paraId="1728DAAD" w14:textId="67AAE930" w:rsidR="00204728" w:rsidRPr="0086717E" w:rsidRDefault="00F417F3" w:rsidP="007078B2">
      <w:pPr>
        <w:spacing w:line="480" w:lineRule="auto"/>
        <w:rPr>
          <w:rFonts w:eastAsiaTheme="minorEastAsia" w:cstheme="minorHAnsi"/>
          <w:sz w:val="24"/>
          <w:szCs w:val="24"/>
        </w:rPr>
      </w:pPr>
      <m:oMathPara>
        <m:oMath>
          <m:sSub>
            <m:sSubPr>
              <m:ctrlPr>
                <w:rPr>
                  <w:rFonts w:ascii="Cambria Math" w:hAnsi="Cambria Math"/>
                  <w:i/>
                </w:rPr>
              </m:ctrlPr>
            </m:sSubPr>
            <m:e>
              <m:r>
                <w:rPr>
                  <w:rFonts w:ascii="Cambria Math" w:hAnsi="Cambria Math"/>
                </w:rPr>
                <m:t>c</m:t>
              </m:r>
            </m:e>
            <m:sub>
              <m:r>
                <w:rPr>
                  <w:rFonts w:ascii="Cambria Math" w:hAnsi="Cambria Math"/>
                </w:rPr>
                <m:t>t</m:t>
              </m:r>
            </m:sub>
          </m:sSub>
          <m:d>
            <m:dPr>
              <m:ctrlPr>
                <w:rPr>
                  <w:rFonts w:ascii="Cambria Math" w:hAnsi="Cambria Math"/>
                  <w:i/>
                </w:rPr>
              </m:ctrlPr>
            </m:dPr>
            <m:e>
              <m:r>
                <w:rPr>
                  <w:rFonts w:ascii="Cambria Math" w:hAnsi="Cambria Math"/>
                </w:rPr>
                <m:t>x</m:t>
              </m:r>
              <m:r>
                <w:rPr>
                  <w:rFonts w:ascii="Cambria Math" w:hAnsi="Cambria Math"/>
                </w:rPr>
                <m:t>,</m:t>
              </m:r>
              <m:r>
                <w:rPr>
                  <w:rFonts w:ascii="Cambria Math" w:hAnsi="Cambria Math"/>
                </w:rPr>
                <m:t>y</m:t>
              </m:r>
            </m:e>
          </m:d>
          <m:r>
            <w:rPr>
              <w:rFonts w:ascii="Cambria Math" w:hAnsi="Cambria Math"/>
            </w:rPr>
            <m:t>=</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x</m:t>
                          </m:r>
                          <m:r>
                            <w:rPr>
                              <w:rFonts w:ascii="Cambria Math" w:hAnsi="Cambria Math"/>
                            </w:rPr>
                            <m:t>,</m:t>
                          </m:r>
                          <m:r>
                            <w:rPr>
                              <w:rFonts w:ascii="Cambria Math" w:hAnsi="Cambria Math"/>
                            </w:rPr>
                            <m:t>t</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x</m:t>
                          </m:r>
                        </m:sub>
                      </m:sSub>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y</m:t>
                          </m:r>
                          <m:r>
                            <w:rPr>
                              <w:rFonts w:ascii="Cambria Math" w:hAnsi="Cambria Math"/>
                            </w:rPr>
                            <m:t>,</m:t>
                          </m:r>
                          <m:r>
                            <w:rPr>
                              <w:rFonts w:ascii="Cambria Math" w:hAnsi="Cambria Math"/>
                            </w:rPr>
                            <m:t>t</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y</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e>
              </m:d>
            </m:num>
            <m:den>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x</m:t>
                                  </m:r>
                                  <m:r>
                                    <w:rPr>
                                      <w:rFonts w:ascii="Cambria Math" w:hAnsi="Cambria Math"/>
                                    </w:rPr>
                                    <m:t>,</m:t>
                                  </m:r>
                                  <m:r>
                                    <w:rPr>
                                      <w:rFonts w:ascii="Cambria Math" w:hAnsi="Cambria Math"/>
                                    </w:rPr>
                                    <m:t>t</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x</m:t>
                                  </m:r>
                                </m:sub>
                              </m:sSub>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y</m:t>
                                  </m:r>
                                  <m:r>
                                    <w:rPr>
                                      <w:rFonts w:ascii="Cambria Math" w:hAnsi="Cambria Math"/>
                                    </w:rPr>
                                    <m:t>,</m:t>
                                  </m:r>
                                  <m:r>
                                    <w:rPr>
                                      <w:rFonts w:ascii="Cambria Math" w:hAnsi="Cambria Math"/>
                                    </w:rPr>
                                    <m:t>t</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y</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e>
                      </m:d>
                    </m:e>
                    <m:sup>
                      <m:r>
                        <w:rPr>
                          <w:rFonts w:ascii="Cambria Math" w:hAnsi="Cambria Math"/>
                        </w:rPr>
                        <m:t>2</m:t>
                      </m:r>
                    </m:sup>
                  </m:sSup>
                </m:e>
              </m:d>
            </m:den>
          </m:f>
          <m:r>
            <m:rPr>
              <m:sty m:val="p"/>
            </m:rPr>
            <w:rPr>
              <w:rFonts w:eastAsiaTheme="minorEastAsia"/>
            </w:rPr>
            <w:br/>
          </m:r>
        </m:oMath>
      </m:oMathPara>
      <w:r w:rsidR="00FD5AA4" w:rsidRPr="00281272">
        <w:rPr>
          <w:rFonts w:eastAsiaTheme="minorEastAsia"/>
          <w:color w:val="000000" w:themeColor="text1"/>
          <w:kern w:val="24"/>
          <w:sz w:val="24"/>
          <w:szCs w:val="24"/>
        </w:rPr>
        <w:tab/>
      </w:r>
      <w:r w:rsidR="00FD5AA4" w:rsidRPr="0086717E">
        <w:rPr>
          <w:rFonts w:eastAsiaTheme="minorEastAsia" w:cstheme="minorHAnsi"/>
          <w:color w:val="000000" w:themeColor="text1"/>
          <w:kern w:val="24"/>
          <w:sz w:val="24"/>
          <w:szCs w:val="24"/>
        </w:rPr>
        <w:t>Here,</w:t>
      </w:r>
      <w:r w:rsidR="00204728" w:rsidRPr="0086717E">
        <w:rPr>
          <w:rFonts w:eastAsiaTheme="minorEastAsia" w:cstheme="minorHAnsi"/>
          <w:color w:val="000000" w:themeColor="text1"/>
          <w:kern w:val="24"/>
          <w:sz w:val="24"/>
          <w:szCs w:val="24"/>
        </w:rPr>
        <w:t xml:space="preserve"> </w:t>
      </w:r>
      <m:oMath>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x</m:t>
            </m:r>
          </m:sub>
        </m:sSub>
      </m:oMath>
      <w:r w:rsidR="00204728" w:rsidRPr="0086717E">
        <w:rPr>
          <w:rFonts w:eastAsiaTheme="minorEastAsia" w:cstheme="minorHAnsi"/>
          <w:sz w:val="24"/>
          <w:szCs w:val="24"/>
        </w:rPr>
        <w:t xml:space="preserve"> and </w:t>
      </w:r>
      <m:oMath>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y</m:t>
            </m:r>
          </m:sub>
        </m:sSub>
      </m:oMath>
      <w:r w:rsidR="00204728" w:rsidRPr="0086717E">
        <w:rPr>
          <w:rFonts w:eastAsiaTheme="minorEastAsia" w:cstheme="minorHAnsi"/>
          <w:sz w:val="24"/>
          <w:szCs w:val="24"/>
        </w:rPr>
        <w:t xml:space="preserve"> equal the cumulative return of two assets, </w:t>
      </w:r>
      <m:oMath>
        <m:r>
          <w:rPr>
            <w:rFonts w:ascii="Cambria Math" w:hAnsi="Cambria Math" w:cstheme="minorHAnsi"/>
            <w:sz w:val="24"/>
            <w:szCs w:val="24"/>
          </w:rPr>
          <m:t>x</m:t>
        </m:r>
      </m:oMath>
      <w:r w:rsidR="00204728" w:rsidRPr="0086717E">
        <w:rPr>
          <w:rFonts w:eastAsiaTheme="minorEastAsia" w:cstheme="minorHAnsi"/>
          <w:sz w:val="24"/>
          <w:szCs w:val="24"/>
        </w:rPr>
        <w:t xml:space="preserve"> and </w:t>
      </w:r>
      <m:oMath>
        <m:r>
          <w:rPr>
            <w:rFonts w:ascii="Cambria Math" w:eastAsiaTheme="minorEastAsia" w:hAnsi="Cambria Math" w:cstheme="minorHAnsi"/>
            <w:sz w:val="24"/>
            <w:szCs w:val="24"/>
          </w:rPr>
          <m:t>y</m:t>
        </m:r>
      </m:oMath>
      <w:r w:rsidR="00204728" w:rsidRPr="0086717E">
        <w:rPr>
          <w:rFonts w:eastAsiaTheme="minorEastAsia" w:cstheme="minorHAnsi"/>
          <w:sz w:val="24"/>
          <w:szCs w:val="24"/>
        </w:rPr>
        <w:t xml:space="preserve">, over a given period; </w:t>
      </w:r>
      <m:oMath>
        <m:sSub>
          <m:sSubPr>
            <m:ctrlPr>
              <w:rPr>
                <w:rFonts w:ascii="Cambria Math" w:hAnsi="Cambria Math" w:cstheme="minorHAnsi"/>
                <w:i/>
                <w:sz w:val="24"/>
                <w:szCs w:val="24"/>
              </w:rPr>
            </m:ctrlPr>
          </m:sSubPr>
          <m:e>
            <m:r>
              <w:rPr>
                <w:rFonts w:ascii="Cambria Math" w:hAnsi="Cambria Math" w:cstheme="minorHAnsi"/>
                <w:sz w:val="24"/>
                <w:szCs w:val="24"/>
              </w:rPr>
              <m:t>μ</m:t>
            </m:r>
          </m:e>
          <m:sub>
            <m:r>
              <w:rPr>
                <w:rFonts w:ascii="Cambria Math" w:hAnsi="Cambria Math" w:cstheme="minorHAnsi"/>
                <w:sz w:val="24"/>
                <w:szCs w:val="24"/>
              </w:rPr>
              <m:t>x</m:t>
            </m:r>
          </m:sub>
        </m:sSub>
      </m:oMath>
      <w:r w:rsidR="00204728" w:rsidRPr="0086717E">
        <w:rPr>
          <w:rFonts w:eastAsiaTheme="minorEastAsia" w:cstheme="minorHAnsi"/>
          <w:color w:val="000000" w:themeColor="text1"/>
          <w:kern w:val="24"/>
          <w:sz w:val="24"/>
          <w:szCs w:val="24"/>
        </w:rPr>
        <w:t xml:space="preserve"> and </w:t>
      </w:r>
      <m:oMath>
        <m:sSub>
          <m:sSubPr>
            <m:ctrlPr>
              <w:rPr>
                <w:rFonts w:ascii="Cambria Math" w:hAnsi="Cambria Math" w:cstheme="minorHAnsi"/>
                <w:i/>
                <w:sz w:val="24"/>
                <w:szCs w:val="24"/>
              </w:rPr>
            </m:ctrlPr>
          </m:sSubPr>
          <m:e>
            <m:r>
              <w:rPr>
                <w:rFonts w:ascii="Cambria Math" w:hAnsi="Cambria Math" w:cstheme="minorHAnsi"/>
                <w:sz w:val="24"/>
                <w:szCs w:val="24"/>
              </w:rPr>
              <m:t>μ</m:t>
            </m:r>
          </m:e>
          <m:sub>
            <m:r>
              <w:rPr>
                <w:rFonts w:ascii="Cambria Math" w:hAnsi="Cambria Math" w:cstheme="minorHAnsi"/>
                <w:sz w:val="24"/>
                <w:szCs w:val="24"/>
              </w:rPr>
              <m:t>y</m:t>
            </m:r>
          </m:sub>
        </m:sSub>
      </m:oMath>
      <w:r w:rsidR="00204728" w:rsidRPr="0086717E">
        <w:rPr>
          <w:rFonts w:eastAsiaTheme="minorEastAsia" w:cstheme="minorHAnsi"/>
          <w:color w:val="000000" w:themeColor="text1"/>
          <w:kern w:val="24"/>
          <w:sz w:val="24"/>
          <w:szCs w:val="24"/>
        </w:rPr>
        <w:t xml:space="preserve"> equal their long-run arithmetic average return </w:t>
      </w:r>
      <w:r w:rsidR="005675C0" w:rsidRPr="0086717E">
        <w:rPr>
          <w:rFonts w:eastAsiaTheme="minorEastAsia" w:cstheme="minorHAnsi"/>
          <w:color w:val="000000" w:themeColor="text1"/>
          <w:kern w:val="24"/>
          <w:sz w:val="24"/>
          <w:szCs w:val="24"/>
        </w:rPr>
        <w:t>with the</w:t>
      </w:r>
      <w:r w:rsidR="00204728" w:rsidRPr="0086717E">
        <w:rPr>
          <w:rFonts w:eastAsiaTheme="minorEastAsia" w:cstheme="minorHAnsi"/>
          <w:color w:val="000000" w:themeColor="text1"/>
          <w:kern w:val="24"/>
          <w:sz w:val="24"/>
          <w:szCs w:val="24"/>
        </w:rPr>
        <w:t xml:space="preserve"> same periodicity; and </w:t>
      </w:r>
      <m:oMath>
        <m:sSub>
          <m:sSubPr>
            <m:ctrlPr>
              <w:rPr>
                <w:rFonts w:ascii="Cambria Math" w:hAnsi="Cambria Math" w:cstheme="minorHAnsi"/>
                <w:i/>
                <w:sz w:val="24"/>
                <w:szCs w:val="24"/>
              </w:rPr>
            </m:ctrlPr>
          </m:sSubPr>
          <m:e>
            <m:r>
              <w:rPr>
                <w:rFonts w:ascii="Cambria Math" w:hAnsi="Cambria Math" w:cstheme="minorHAnsi"/>
                <w:sz w:val="24"/>
                <w:szCs w:val="24"/>
              </w:rPr>
              <m:t>σ</m:t>
            </m:r>
          </m:e>
          <m:sub>
            <m:r>
              <w:rPr>
                <w:rFonts w:ascii="Cambria Math" w:hAnsi="Cambria Math" w:cstheme="minorHAnsi"/>
                <w:sz w:val="24"/>
                <w:szCs w:val="24"/>
              </w:rPr>
              <m:t>x</m:t>
            </m:r>
          </m:sub>
        </m:sSub>
      </m:oMath>
      <w:r w:rsidR="00204728" w:rsidRPr="0086717E">
        <w:rPr>
          <w:rFonts w:eastAsiaTheme="minorEastAsia" w:cstheme="minorHAnsi"/>
          <w:color w:val="000000" w:themeColor="text1"/>
          <w:kern w:val="24"/>
          <w:sz w:val="24"/>
          <w:szCs w:val="24"/>
        </w:rPr>
        <w:t xml:space="preserve"> and </w:t>
      </w:r>
      <m:oMath>
        <m:sSub>
          <m:sSubPr>
            <m:ctrlPr>
              <w:rPr>
                <w:rFonts w:ascii="Cambria Math" w:hAnsi="Cambria Math" w:cstheme="minorHAnsi"/>
                <w:i/>
                <w:sz w:val="24"/>
                <w:szCs w:val="24"/>
              </w:rPr>
            </m:ctrlPr>
          </m:sSubPr>
          <m:e>
            <m:r>
              <w:rPr>
                <w:rFonts w:ascii="Cambria Math" w:hAnsi="Cambria Math" w:cstheme="minorHAnsi"/>
                <w:sz w:val="24"/>
                <w:szCs w:val="24"/>
              </w:rPr>
              <m:t>σ</m:t>
            </m:r>
          </m:e>
          <m:sub>
            <m:r>
              <w:rPr>
                <w:rFonts w:ascii="Cambria Math" w:hAnsi="Cambria Math" w:cstheme="minorHAnsi"/>
                <w:sz w:val="24"/>
                <w:szCs w:val="24"/>
              </w:rPr>
              <m:t>y</m:t>
            </m:r>
          </m:sub>
        </m:sSub>
      </m:oMath>
      <w:r w:rsidR="00204728" w:rsidRPr="0086717E">
        <w:rPr>
          <w:rFonts w:eastAsiaTheme="minorEastAsia" w:cstheme="minorHAnsi"/>
          <w:sz w:val="24"/>
          <w:szCs w:val="24"/>
        </w:rPr>
        <w:t xml:space="preserve"> equal the standard deviation of their returns</w:t>
      </w:r>
      <w:r w:rsidR="005675C0" w:rsidRPr="0086717E">
        <w:rPr>
          <w:rFonts w:eastAsiaTheme="minorEastAsia" w:cstheme="minorHAnsi"/>
          <w:sz w:val="24"/>
          <w:szCs w:val="24"/>
        </w:rPr>
        <w:t xml:space="preserve"> with the same periodicity</w:t>
      </w:r>
      <w:r w:rsidR="00204728" w:rsidRPr="0086717E">
        <w:rPr>
          <w:rFonts w:eastAsiaTheme="minorEastAsia" w:cstheme="minorHAnsi"/>
          <w:sz w:val="24"/>
          <w:szCs w:val="24"/>
        </w:rPr>
        <w:t>.</w:t>
      </w:r>
    </w:p>
    <w:p w14:paraId="2240043C" w14:textId="6C1C4FD9" w:rsidR="00FD5AA4" w:rsidRPr="0086717E" w:rsidRDefault="00DA5FFA" w:rsidP="007078B2">
      <w:pPr>
        <w:spacing w:line="480" w:lineRule="auto"/>
        <w:ind w:firstLine="720"/>
        <w:rPr>
          <w:rFonts w:eastAsiaTheme="minorEastAsia" w:cstheme="minorHAnsi"/>
          <w:color w:val="000000" w:themeColor="text1"/>
          <w:kern w:val="24"/>
          <w:sz w:val="24"/>
          <w:szCs w:val="24"/>
        </w:rPr>
      </w:pPr>
      <w:r w:rsidRPr="0086717E">
        <w:rPr>
          <w:rFonts w:cstheme="minorHAnsi"/>
          <w:noProof/>
          <w:sz w:val="24"/>
          <w:szCs w:val="24"/>
        </w:rPr>
        <mc:AlternateContent>
          <mc:Choice Requires="wps">
            <w:drawing>
              <wp:anchor distT="0" distB="0" distL="114300" distR="114300" simplePos="0" relativeHeight="251663360" behindDoc="0" locked="0" layoutInCell="1" allowOverlap="1" wp14:anchorId="6FACE372" wp14:editId="7F090B75">
                <wp:simplePos x="0" y="0"/>
                <wp:positionH relativeFrom="margin">
                  <wp:posOffset>4267199</wp:posOffset>
                </wp:positionH>
                <wp:positionV relativeFrom="paragraph">
                  <wp:posOffset>949960</wp:posOffset>
                </wp:positionV>
                <wp:extent cx="1659255" cy="356259"/>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1659255" cy="356259"/>
                        </a:xfrm>
                        <a:prstGeom prst="rect">
                          <a:avLst/>
                        </a:prstGeom>
                        <a:solidFill>
                          <a:schemeClr val="lt1"/>
                        </a:solidFill>
                        <a:ln w="6350">
                          <a:noFill/>
                        </a:ln>
                      </wps:spPr>
                      <wps:txbx>
                        <w:txbxContent>
                          <w:p w14:paraId="227470DE" w14:textId="4436DCD3" w:rsidR="00DA5FFA" w:rsidRPr="00DA5FFA" w:rsidRDefault="00DA5FFA" w:rsidP="00DA5FFA">
                            <w:pPr>
                              <w:jc w:val="right"/>
                              <w:rPr>
                                <w:sz w:val="24"/>
                                <w:szCs w:val="24"/>
                              </w:rPr>
                            </w:pPr>
                            <w:r w:rsidRPr="00DA5FFA">
                              <w:rPr>
                                <w:sz w:val="24"/>
                                <w:szCs w:val="24"/>
                              </w:rPr>
                              <w:t>(</w:t>
                            </w:r>
                            <w:r w:rsidR="00FE78BE">
                              <w:rPr>
                                <w:sz w:val="24"/>
                                <w:szCs w:val="24"/>
                              </w:rPr>
                              <w:t>5</w:t>
                            </w:r>
                            <w:r w:rsidRPr="00DA5FFA">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E372" id="Text Box 24" o:spid="_x0000_s1028" type="#_x0000_t202" style="position:absolute;left:0;text-align:left;margin-left:336pt;margin-top:74.8pt;width:130.65pt;height:28.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" fillcolor="white [3201]" stroked="f" strokeweight=".5pt">
                <v:textbox>
                  <w:txbxContent>
                    <w:p w14:paraId="227470DE" w14:textId="4436DCD3" w:rsidR="00DA5FFA" w:rsidRPr="00DA5FFA" w:rsidRDefault="00DA5FFA" w:rsidP="00DA5FFA">
                      <w:pPr>
                        <w:jc w:val="right"/>
                        <w:rPr>
                          <w:sz w:val="24"/>
                          <w:szCs w:val="24"/>
                        </w:rPr>
                      </w:pPr>
                      <w:r w:rsidRPr="00DA5FFA">
                        <w:rPr>
                          <w:sz w:val="24"/>
                          <w:szCs w:val="24"/>
                        </w:rPr>
                        <w:t>(</w:t>
                      </w:r>
                      <w:r w:rsidR="00FE78BE">
                        <w:rPr>
                          <w:sz w:val="24"/>
                          <w:szCs w:val="24"/>
                        </w:rPr>
                        <w:t>5</w:t>
                      </w:r>
                      <w:r w:rsidRPr="00DA5FFA">
                        <w:rPr>
                          <w:sz w:val="24"/>
                          <w:szCs w:val="24"/>
                        </w:rPr>
                        <w:t>)</w:t>
                      </w:r>
                    </w:p>
                  </w:txbxContent>
                </v:textbox>
                <w10:wrap anchorx="margin"/>
              </v:shape>
            </w:pict>
          </mc:Fallback>
        </mc:AlternateContent>
      </w:r>
      <w:r w:rsidR="00FD5AA4" w:rsidRPr="0086717E">
        <w:rPr>
          <w:rFonts w:eastAsiaTheme="minorEastAsia" w:cstheme="minorHAnsi"/>
          <w:color w:val="000000" w:themeColor="text1"/>
          <w:kern w:val="24"/>
          <w:sz w:val="24"/>
          <w:szCs w:val="24"/>
        </w:rPr>
        <w:t>Co-occurrence relates to the Pearson correlation of a time series of asset returns in a precise mathematical way:</w:t>
      </w:r>
    </w:p>
    <w:p w14:paraId="1C656EA2" w14:textId="53AB7306" w:rsidR="009B63E9" w:rsidRPr="00281272" w:rsidRDefault="00FD5AA4" w:rsidP="007078B2">
      <w:pPr>
        <w:spacing w:line="480" w:lineRule="auto"/>
        <w:rPr>
          <w:rFonts w:eastAsiaTheme="minorEastAsia"/>
          <w:color w:val="000000" w:themeColor="text1"/>
          <w:kern w:val="24"/>
          <w:sz w:val="24"/>
          <w:szCs w:val="24"/>
        </w:rPr>
      </w:pPr>
      <m:oMathPara>
        <m:oMath>
          <m:r>
            <w:rPr>
              <w:rFonts w:ascii="Cambria Math" w:eastAsiaTheme="minorEastAsia" w:hAnsi="Cambria Math"/>
              <w:color w:val="000000" w:themeColor="text1"/>
              <w:kern w:val="24"/>
              <w:sz w:val="24"/>
              <w:szCs w:val="24"/>
            </w:rPr>
            <m:t>ρ</m:t>
          </m:r>
          <m:d>
            <m:dPr>
              <m:ctrlPr>
                <w:rPr>
                  <w:rFonts w:ascii="Cambria Math" w:eastAsiaTheme="minorEastAsia" w:hAnsi="Cambria Math"/>
                  <w:i/>
                  <w:color w:val="000000" w:themeColor="text1"/>
                  <w:kern w:val="24"/>
                  <w:sz w:val="24"/>
                  <w:szCs w:val="24"/>
                </w:rPr>
              </m:ctrlPr>
            </m:dPr>
            <m:e>
              <m:r>
                <w:rPr>
                  <w:rFonts w:ascii="Cambria Math" w:eastAsiaTheme="minorEastAsia" w:hAnsi="Cambria Math"/>
                  <w:color w:val="000000" w:themeColor="text1"/>
                  <w:kern w:val="24"/>
                  <w:sz w:val="24"/>
                  <w:szCs w:val="24"/>
                </w:rPr>
                <m:t>x,y</m:t>
              </m:r>
            </m:e>
          </m:d>
          <m:r>
            <w:rPr>
              <w:rFonts w:ascii="Cambria Math" w:eastAsiaTheme="minorEastAsia" w:hAnsi="Cambria Math"/>
              <w:color w:val="000000" w:themeColor="text1"/>
              <w:kern w:val="24"/>
              <w:sz w:val="24"/>
              <w:szCs w:val="24"/>
            </w:rPr>
            <m:t xml:space="preserve">= </m:t>
          </m:r>
          <m:f>
            <m:fPr>
              <m:ctrlPr>
                <w:rPr>
                  <w:rFonts w:ascii="Cambria Math" w:eastAsiaTheme="minorEastAsia" w:hAnsi="Cambria Math"/>
                  <w:i/>
                  <w:color w:val="000000" w:themeColor="text1"/>
                  <w:kern w:val="24"/>
                  <w:sz w:val="24"/>
                  <w:szCs w:val="24"/>
                </w:rPr>
              </m:ctrlPr>
            </m:fPr>
            <m:num>
              <m:r>
                <w:rPr>
                  <w:rFonts w:ascii="Cambria Math" w:eastAsiaTheme="minorEastAsia" w:hAnsi="Cambria Math"/>
                  <w:color w:val="000000" w:themeColor="text1"/>
                  <w:kern w:val="24"/>
                  <w:sz w:val="24"/>
                  <w:szCs w:val="24"/>
                </w:rPr>
                <m:t>1</m:t>
              </m:r>
            </m:num>
            <m:den>
              <m:r>
                <w:rPr>
                  <w:rFonts w:ascii="Cambria Math" w:eastAsiaTheme="minorEastAsia" w:hAnsi="Cambria Math"/>
                  <w:color w:val="000000" w:themeColor="text1"/>
                  <w:kern w:val="24"/>
                  <w:sz w:val="24"/>
                  <w:szCs w:val="24"/>
                </w:rPr>
                <m:t>N-1</m:t>
              </m:r>
            </m:den>
          </m:f>
          <m:nary>
            <m:naryPr>
              <m:chr m:val="∑"/>
              <m:limLoc m:val="undOvr"/>
              <m:ctrlPr>
                <w:rPr>
                  <w:rFonts w:ascii="Cambria Math" w:eastAsiaTheme="minorEastAsia" w:hAnsi="Cambria Math"/>
                  <w:i/>
                  <w:color w:val="000000" w:themeColor="text1"/>
                  <w:kern w:val="24"/>
                  <w:sz w:val="24"/>
                  <w:szCs w:val="24"/>
                </w:rPr>
              </m:ctrlPr>
            </m:naryPr>
            <m:sub>
              <m:r>
                <w:rPr>
                  <w:rFonts w:ascii="Cambria Math" w:eastAsiaTheme="minorEastAsia" w:hAnsi="Cambria Math"/>
                  <w:color w:val="000000" w:themeColor="text1"/>
                  <w:kern w:val="24"/>
                  <w:sz w:val="24"/>
                  <w:szCs w:val="24"/>
                </w:rPr>
                <m:t>t=1</m:t>
              </m:r>
            </m:sub>
            <m:sup>
              <m:r>
                <w:rPr>
                  <w:rFonts w:ascii="Cambria Math" w:eastAsiaTheme="minorEastAsia" w:hAnsi="Cambria Math"/>
                  <w:color w:val="000000" w:themeColor="text1"/>
                  <w:kern w:val="24"/>
                  <w:sz w:val="24"/>
                  <w:szCs w:val="24"/>
                </w:rPr>
                <m:t>N</m:t>
              </m:r>
            </m:sup>
            <m:e>
              <m:r>
                <w:rPr>
                  <w:rFonts w:ascii="Cambria Math" w:eastAsiaTheme="minorEastAsia" w:hAnsi="Cambria Math"/>
                  <w:color w:val="000000" w:themeColor="text1"/>
                  <w:kern w:val="24"/>
                  <w:sz w:val="24"/>
                  <w:szCs w:val="24"/>
                </w:rPr>
                <m:t>(</m:t>
              </m:r>
              <m:sSub>
                <m:sSubPr>
                  <m:ctrlPr>
                    <w:rPr>
                      <w:rFonts w:ascii="Cambria Math" w:eastAsiaTheme="minorEastAsia" w:hAnsi="Cambria Math"/>
                      <w:i/>
                      <w:color w:val="000000" w:themeColor="text1"/>
                      <w:kern w:val="24"/>
                      <w:sz w:val="24"/>
                      <w:szCs w:val="24"/>
                    </w:rPr>
                  </m:ctrlPr>
                </m:sSubPr>
                <m:e>
                  <m:r>
                    <w:rPr>
                      <w:rFonts w:ascii="Cambria Math" w:eastAsiaTheme="minorEastAsia" w:hAnsi="Cambria Math"/>
                      <w:color w:val="000000" w:themeColor="text1"/>
                      <w:kern w:val="24"/>
                      <w:sz w:val="24"/>
                      <w:szCs w:val="24"/>
                    </w:rPr>
                    <m:t>info</m:t>
                  </m:r>
                </m:e>
                <m:sub>
                  <m:r>
                    <w:rPr>
                      <w:rFonts w:ascii="Cambria Math" w:eastAsiaTheme="minorEastAsia" w:hAnsi="Cambria Math"/>
                      <w:color w:val="000000" w:themeColor="text1"/>
                      <w:kern w:val="24"/>
                      <w:sz w:val="24"/>
                      <w:szCs w:val="24"/>
                    </w:rPr>
                    <m:t>t</m:t>
                  </m:r>
                </m:sub>
              </m:sSub>
              <m:r>
                <w:rPr>
                  <w:rFonts w:ascii="Cambria Math" w:eastAsiaTheme="minorEastAsia" w:hAnsi="Cambria Math"/>
                  <w:color w:val="000000" w:themeColor="text1"/>
                  <w:kern w:val="24"/>
                  <w:sz w:val="24"/>
                  <w:szCs w:val="24"/>
                </w:rPr>
                <m:t xml:space="preserve"> ×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eastAsiaTheme="minorEastAsia" w:hAnsi="Cambria Math"/>
                  <w:color w:val="000000" w:themeColor="text1"/>
                  <w:kern w:val="24"/>
                  <w:sz w:val="24"/>
                  <w:szCs w:val="24"/>
                </w:rPr>
                <m:t xml:space="preserve">) </m:t>
              </m:r>
            </m:e>
          </m:nary>
        </m:oMath>
      </m:oMathPara>
    </w:p>
    <w:p w14:paraId="03550E34" w14:textId="07D0D5E7" w:rsidR="005675C0" w:rsidRPr="001D0614" w:rsidRDefault="00FD5AA4" w:rsidP="007078B2">
      <w:pPr>
        <w:spacing w:line="480" w:lineRule="auto"/>
        <w:rPr>
          <w:rFonts w:eastAsiaTheme="minorEastAsia"/>
          <w:color w:val="000000" w:themeColor="text1"/>
          <w:kern w:val="24"/>
          <w:sz w:val="24"/>
          <w:szCs w:val="24"/>
        </w:rPr>
      </w:pPr>
      <w:r w:rsidRPr="00281272">
        <w:rPr>
          <w:rFonts w:eastAsiaTheme="minorEastAsia"/>
          <w:color w:val="000000" w:themeColor="text1"/>
          <w:kern w:val="24"/>
          <w:sz w:val="24"/>
          <w:szCs w:val="24"/>
        </w:rPr>
        <w:tab/>
      </w:r>
      <w:r w:rsidRPr="001D0614">
        <w:rPr>
          <w:rFonts w:eastAsiaTheme="minorEastAsia"/>
          <w:color w:val="000000" w:themeColor="text1"/>
          <w:kern w:val="24"/>
          <w:sz w:val="24"/>
          <w:szCs w:val="24"/>
        </w:rPr>
        <w:t>Here,</w:t>
      </w:r>
      <w:r w:rsidR="005675C0" w:rsidRPr="001D0614">
        <w:rPr>
          <w:rFonts w:eastAsiaTheme="minorEastAsia"/>
          <w:color w:val="000000" w:themeColor="text1"/>
          <w:kern w:val="24"/>
          <w:sz w:val="24"/>
          <w:szCs w:val="24"/>
        </w:rPr>
        <w:t xml:space="preserve"> </w:t>
      </w:r>
      <m:oMath>
        <m:r>
          <w:rPr>
            <w:rFonts w:ascii="Cambria Math" w:hAnsi="Cambria Math"/>
            <w:sz w:val="24"/>
            <w:szCs w:val="24"/>
          </w:rPr>
          <m:t>N</m:t>
        </m:r>
      </m:oMath>
      <w:r w:rsidR="005675C0" w:rsidRPr="001D0614">
        <w:rPr>
          <w:rFonts w:eastAsiaTheme="minorEastAsia"/>
          <w:color w:val="000000" w:themeColor="text1"/>
          <w:kern w:val="24"/>
          <w:sz w:val="24"/>
          <w:szCs w:val="24"/>
        </w:rPr>
        <w:t xml:space="preserve"> equals the number of return periods in the sample; </w:t>
      </w:r>
      <m:oMath>
        <m:sSub>
          <m:sSubPr>
            <m:ctrlPr>
              <w:rPr>
                <w:rFonts w:ascii="Cambria Math" w:eastAsiaTheme="minorEastAsia" w:hAnsi="Cambria Math"/>
                <w:i/>
                <w:color w:val="000000" w:themeColor="text1"/>
                <w:kern w:val="24"/>
                <w:sz w:val="24"/>
                <w:szCs w:val="24"/>
              </w:rPr>
            </m:ctrlPr>
          </m:sSubPr>
          <m:e>
            <m:r>
              <w:rPr>
                <w:rFonts w:ascii="Cambria Math" w:eastAsiaTheme="minorEastAsia" w:hAnsi="Cambria Math"/>
                <w:color w:val="000000" w:themeColor="text1"/>
                <w:kern w:val="24"/>
                <w:sz w:val="24"/>
                <w:szCs w:val="24"/>
              </w:rPr>
              <m:t>info</m:t>
            </m:r>
          </m:e>
          <m:sub>
            <m:r>
              <w:rPr>
                <w:rFonts w:ascii="Cambria Math" w:eastAsiaTheme="minorEastAsia" w:hAnsi="Cambria Math"/>
                <w:color w:val="000000" w:themeColor="text1"/>
                <w:kern w:val="24"/>
                <w:sz w:val="24"/>
                <w:szCs w:val="24"/>
              </w:rPr>
              <m:t>t</m:t>
            </m:r>
          </m:sub>
        </m:sSub>
        <m:r>
          <w:rPr>
            <w:rFonts w:ascii="Cambria Math" w:eastAsiaTheme="minorEastAsia" w:hAnsi="Cambria Math"/>
            <w:color w:val="000000" w:themeColor="text1"/>
            <w:kern w:val="24"/>
            <w:sz w:val="24"/>
            <w:szCs w:val="24"/>
          </w:rPr>
          <m:t xml:space="preserve"> </m:t>
        </m:r>
      </m:oMath>
      <w:r w:rsidR="005675C0" w:rsidRPr="001D0614">
        <w:rPr>
          <w:rFonts w:eastAsiaTheme="minorEastAsia"/>
          <w:color w:val="000000" w:themeColor="text1"/>
          <w:kern w:val="24"/>
          <w:sz w:val="24"/>
          <w:szCs w:val="24"/>
        </w:rPr>
        <w:t xml:space="preserve">is the informativeness of the asset returns </w:t>
      </w:r>
      <w:r w:rsidR="007078B2" w:rsidRPr="001D0614">
        <w:rPr>
          <w:rFonts w:eastAsiaTheme="minorEastAsia"/>
          <w:color w:val="000000" w:themeColor="text1"/>
          <w:kern w:val="24"/>
          <w:sz w:val="24"/>
          <w:szCs w:val="24"/>
        </w:rPr>
        <w:t xml:space="preserve">ending at time </w:t>
      </w:r>
      <m:oMath>
        <m:r>
          <w:rPr>
            <w:rFonts w:ascii="Cambria Math" w:hAnsi="Cambria Math"/>
            <w:sz w:val="24"/>
            <w:szCs w:val="24"/>
          </w:rPr>
          <m:t>t</m:t>
        </m:r>
      </m:oMath>
      <w:r w:rsidR="007078B2" w:rsidRPr="001D0614">
        <w:rPr>
          <w:rFonts w:eastAsiaTheme="minorEastAsia"/>
          <w:sz w:val="24"/>
          <w:szCs w:val="24"/>
        </w:rPr>
        <w:t xml:space="preserve">;  </w:t>
      </w:r>
      <w:r w:rsidR="005675C0" w:rsidRPr="001D0614">
        <w:rPr>
          <w:rFonts w:eastAsiaTheme="minorEastAsia"/>
          <w:sz w:val="24"/>
          <w:szCs w:val="24"/>
        </w:rPr>
        <w:t xml:space="preserve">and </w:t>
      </w:r>
      <m:oMath>
        <m:r>
          <w:rPr>
            <w:rFonts w:ascii="Cambria Math" w:hAnsi="Cambria Math"/>
            <w:sz w:val="24"/>
            <w:szCs w:val="24"/>
          </w:rPr>
          <m:t>c</m:t>
        </m:r>
      </m:oMath>
      <w:r w:rsidR="005675C0" w:rsidRPr="001D0614">
        <w:rPr>
          <w:rFonts w:eastAsiaTheme="minorEastAsia"/>
          <w:color w:val="000000" w:themeColor="text1"/>
          <w:kern w:val="24"/>
          <w:sz w:val="24"/>
          <w:szCs w:val="24"/>
        </w:rPr>
        <w:t xml:space="preserve"> is their co-occurrence</w:t>
      </w:r>
      <w:r w:rsidR="007078B2" w:rsidRPr="001D0614">
        <w:rPr>
          <w:rFonts w:eastAsiaTheme="minorEastAsia"/>
          <w:color w:val="000000" w:themeColor="text1"/>
          <w:kern w:val="24"/>
          <w:sz w:val="24"/>
          <w:szCs w:val="24"/>
        </w:rPr>
        <w:t xml:space="preserve"> ending at time </w:t>
      </w:r>
      <m:oMath>
        <m:r>
          <w:rPr>
            <w:rFonts w:ascii="Cambria Math" w:hAnsi="Cambria Math"/>
            <w:sz w:val="24"/>
            <w:szCs w:val="24"/>
          </w:rPr>
          <m:t>t</m:t>
        </m:r>
      </m:oMath>
      <w:r w:rsidR="005675C0" w:rsidRPr="001D0614">
        <w:rPr>
          <w:rFonts w:eastAsiaTheme="minorEastAsia"/>
          <w:color w:val="000000" w:themeColor="text1"/>
          <w:kern w:val="24"/>
          <w:sz w:val="24"/>
          <w:szCs w:val="24"/>
        </w:rPr>
        <w:t>.</w:t>
      </w:r>
      <w:r w:rsidR="004D28A3">
        <w:rPr>
          <w:rFonts w:eastAsiaTheme="minorEastAsia"/>
          <w:color w:val="000000" w:themeColor="text1"/>
          <w:kern w:val="24"/>
          <w:sz w:val="24"/>
          <w:szCs w:val="24"/>
        </w:rPr>
        <w:t xml:space="preserve"> </w:t>
      </w:r>
      <w:r w:rsidR="005675C0" w:rsidRPr="001D0614">
        <w:rPr>
          <w:rFonts w:eastAsiaTheme="minorEastAsia"/>
          <w:color w:val="000000" w:themeColor="text1"/>
          <w:kern w:val="24"/>
          <w:sz w:val="24"/>
          <w:szCs w:val="24"/>
        </w:rPr>
        <w:t xml:space="preserve"> In this context, informativeness is defined as</w:t>
      </w:r>
      <w:r w:rsidR="007078B2" w:rsidRPr="001D0614">
        <w:rPr>
          <w:rFonts w:eastAsiaTheme="minorEastAsia"/>
          <w:color w:val="000000" w:themeColor="text1"/>
          <w:kern w:val="24"/>
          <w:sz w:val="24"/>
          <w:szCs w:val="24"/>
        </w:rPr>
        <w:t xml:space="preserve"> the assets’ average </w:t>
      </w:r>
      <w:r w:rsidR="005675C0" w:rsidRPr="001D0614">
        <w:rPr>
          <w:rFonts w:eastAsiaTheme="minorEastAsia"/>
          <w:color w:val="000000" w:themeColor="text1"/>
          <w:kern w:val="24"/>
          <w:sz w:val="24"/>
          <w:szCs w:val="24"/>
        </w:rPr>
        <w:t>squared z-score</w:t>
      </w:r>
      <w:r w:rsidR="007078B2" w:rsidRPr="001D0614">
        <w:rPr>
          <w:rFonts w:eastAsiaTheme="minorEastAsia"/>
          <w:color w:val="000000" w:themeColor="text1"/>
          <w:kern w:val="24"/>
          <w:sz w:val="24"/>
          <w:szCs w:val="24"/>
        </w:rPr>
        <w:t xml:space="preserve"> </w:t>
      </w:r>
      <w:r w:rsidR="005675C0" w:rsidRPr="001D0614">
        <w:rPr>
          <w:rFonts w:eastAsiaTheme="minorEastAsia"/>
          <w:color w:val="000000" w:themeColor="text1"/>
          <w:kern w:val="24"/>
          <w:sz w:val="24"/>
          <w:szCs w:val="24"/>
        </w:rPr>
        <w:t xml:space="preserve">for the chosen period. </w:t>
      </w:r>
    </w:p>
    <w:p w14:paraId="247C2E95" w14:textId="538CD782" w:rsidR="00FD5AA4" w:rsidRPr="00281272" w:rsidRDefault="00DA5FFA" w:rsidP="007078B2">
      <w:pPr>
        <w:spacing w:line="480" w:lineRule="auto"/>
        <w:rPr>
          <w:rFonts w:eastAsiaTheme="minorEastAsia"/>
        </w:rPr>
      </w:pPr>
      <w:r w:rsidRPr="00281272">
        <w:rPr>
          <w:noProof/>
          <w:sz w:val="24"/>
          <w:szCs w:val="24"/>
        </w:rPr>
        <w:lastRenderedPageBreak/>
        <mc:AlternateContent>
          <mc:Choice Requires="wps">
            <w:drawing>
              <wp:anchor distT="0" distB="0" distL="114300" distR="114300" simplePos="0" relativeHeight="251665408" behindDoc="0" locked="0" layoutInCell="1" allowOverlap="1" wp14:anchorId="0AA19528" wp14:editId="4EFF413E">
                <wp:simplePos x="0" y="0"/>
                <wp:positionH relativeFrom="margin">
                  <wp:posOffset>5301425</wp:posOffset>
                </wp:positionH>
                <wp:positionV relativeFrom="paragraph">
                  <wp:posOffset>247015</wp:posOffset>
                </wp:positionV>
                <wp:extent cx="604660" cy="356259"/>
                <wp:effectExtent l="0" t="0" r="0" b="5715"/>
                <wp:wrapNone/>
                <wp:docPr id="25" name="Text Box 25"/>
                <wp:cNvGraphicFramePr/>
                <a:graphic xmlns:a="http://schemas.openxmlformats.org/drawingml/2006/main">
                  <a:graphicData uri="http://schemas.microsoft.com/office/word/2010/wordprocessingShape">
                    <wps:wsp>
                      <wps:cNvSpPr txBox="1"/>
                      <wps:spPr>
                        <a:xfrm>
                          <a:off x="0" y="0"/>
                          <a:ext cx="604660" cy="356259"/>
                        </a:xfrm>
                        <a:prstGeom prst="rect">
                          <a:avLst/>
                        </a:prstGeom>
                        <a:noFill/>
                        <a:ln w="6350">
                          <a:noFill/>
                        </a:ln>
                      </wps:spPr>
                      <wps:txbx>
                        <w:txbxContent>
                          <w:p w14:paraId="3BF8BD0B" w14:textId="48C0F9FF" w:rsidR="00DA5FFA" w:rsidRPr="00DA5FFA" w:rsidRDefault="00DA5FFA" w:rsidP="00DA5FFA">
                            <w:pPr>
                              <w:jc w:val="right"/>
                              <w:rPr>
                                <w:sz w:val="24"/>
                                <w:szCs w:val="24"/>
                              </w:rPr>
                            </w:pPr>
                            <w:r w:rsidRPr="00DA5FFA">
                              <w:rPr>
                                <w:sz w:val="24"/>
                                <w:szCs w:val="24"/>
                              </w:rPr>
                              <w:t>(</w:t>
                            </w:r>
                            <w:r w:rsidR="00FE78BE">
                              <w:rPr>
                                <w:sz w:val="24"/>
                                <w:szCs w:val="24"/>
                              </w:rPr>
                              <w:t>6</w:t>
                            </w:r>
                            <w:r w:rsidRPr="00DA5FFA">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19528" id="Text Box 25" o:spid="_x0000_s1029" type="#_x0000_t202" style="position:absolute;margin-left:417.45pt;margin-top:19.45pt;width:47.6pt;height:28.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" filled="f" stroked="f" strokeweight=".5pt">
                <v:textbox>
                  <w:txbxContent>
                    <w:p w14:paraId="3BF8BD0B" w14:textId="48C0F9FF" w:rsidR="00DA5FFA" w:rsidRPr="00DA5FFA" w:rsidRDefault="00DA5FFA" w:rsidP="00DA5FFA">
                      <w:pPr>
                        <w:jc w:val="right"/>
                        <w:rPr>
                          <w:sz w:val="24"/>
                          <w:szCs w:val="24"/>
                        </w:rPr>
                      </w:pPr>
                      <w:r w:rsidRPr="00DA5FFA">
                        <w:rPr>
                          <w:sz w:val="24"/>
                          <w:szCs w:val="24"/>
                        </w:rPr>
                        <w:t>(</w:t>
                      </w:r>
                      <w:r w:rsidR="00FE78BE">
                        <w:rPr>
                          <w:sz w:val="24"/>
                          <w:szCs w:val="24"/>
                        </w:rPr>
                        <w:t>6</w:t>
                      </w:r>
                      <w:r w:rsidRPr="00DA5FFA">
                        <w:rPr>
                          <w:sz w:val="24"/>
                          <w:szCs w:val="24"/>
                        </w:rPr>
                        <w:t>)</w:t>
                      </w:r>
                    </w:p>
                  </w:txbxContent>
                </v:textbox>
                <w10:wrap anchorx="margin"/>
              </v:shape>
            </w:pict>
          </mc:Fallback>
        </mc:AlternateContent>
      </w:r>
      <w:r w:rsidR="00F076E1" w:rsidRPr="00281272">
        <w:rPr>
          <w:rFonts w:eastAsiaTheme="minorEastAsia"/>
          <w:color w:val="000000" w:themeColor="text1"/>
          <w:kern w:val="24"/>
          <w:sz w:val="24"/>
          <w:szCs w:val="24"/>
        </w:rPr>
        <w:tab/>
        <w:t xml:space="preserve">If we re-write </w:t>
      </w:r>
      <m:oMath>
        <m:sSub>
          <m:sSubPr>
            <m:ctrlPr>
              <w:rPr>
                <w:rFonts w:ascii="Cambria Math" w:eastAsiaTheme="minorEastAsia" w:hAnsi="Cambria Math"/>
                <w:i/>
                <w:color w:val="000000" w:themeColor="text1"/>
                <w:kern w:val="24"/>
                <w:sz w:val="24"/>
                <w:szCs w:val="24"/>
              </w:rPr>
            </m:ctrlPr>
          </m:sSubPr>
          <m:e>
            <m:r>
              <w:rPr>
                <w:rFonts w:ascii="Cambria Math" w:eastAsiaTheme="minorEastAsia" w:hAnsi="Cambria Math"/>
                <w:color w:val="000000" w:themeColor="text1"/>
                <w:kern w:val="24"/>
                <w:sz w:val="24"/>
                <w:szCs w:val="24"/>
              </w:rPr>
              <m:t>info</m:t>
            </m:r>
          </m:e>
          <m:sub>
            <m:r>
              <w:rPr>
                <w:rFonts w:ascii="Cambria Math" w:eastAsiaTheme="minorEastAsia" w:hAnsi="Cambria Math"/>
                <w:color w:val="000000" w:themeColor="text1"/>
                <w:kern w:val="24"/>
                <w:sz w:val="24"/>
                <w:szCs w:val="24"/>
              </w:rPr>
              <m:t>t</m:t>
            </m:r>
          </m:sub>
        </m:sSub>
      </m:oMath>
      <w:r w:rsidR="00F076E1" w:rsidRPr="00281272">
        <w:rPr>
          <w:rFonts w:eastAsiaTheme="minorEastAsia"/>
          <w:color w:val="000000" w:themeColor="text1"/>
          <w:kern w:val="24"/>
          <w:sz w:val="24"/>
          <w:szCs w:val="24"/>
        </w:rPr>
        <w:t xml:space="preserve"> as the assets’ average squared z-score and substitute Equation </w:t>
      </w:r>
      <w:r w:rsidR="00FE78BE">
        <w:rPr>
          <w:rFonts w:eastAsiaTheme="minorEastAsia"/>
          <w:color w:val="000000" w:themeColor="text1"/>
          <w:kern w:val="24"/>
          <w:sz w:val="24"/>
          <w:szCs w:val="24"/>
        </w:rPr>
        <w:t>4</w:t>
      </w:r>
      <w:r w:rsidR="00F076E1" w:rsidRPr="00281272">
        <w:rPr>
          <w:rFonts w:eastAsiaTheme="minorEastAsia"/>
          <w:color w:val="000000" w:themeColor="text1"/>
          <w:kern w:val="24"/>
          <w:sz w:val="24"/>
          <w:szCs w:val="24"/>
        </w:rPr>
        <w:t xml:space="preserve"> for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00F076E1" w:rsidRPr="00281272">
        <w:rPr>
          <w:rFonts w:eastAsiaTheme="minorEastAsia"/>
        </w:rPr>
        <w:t>:</w:t>
      </w:r>
    </w:p>
    <w:p w14:paraId="517D064D" w14:textId="0B390631" w:rsidR="00F076E1" w:rsidRPr="00281272" w:rsidRDefault="00F076E1" w:rsidP="007078B2">
      <w:pPr>
        <w:spacing w:line="480" w:lineRule="auto"/>
        <w:rPr>
          <w:rFonts w:eastAsiaTheme="minorEastAsia"/>
        </w:rPr>
      </w:pPr>
      <m:oMathPara>
        <m:oMath>
          <m:r>
            <w:rPr>
              <w:rFonts w:ascii="Cambria Math" w:eastAsiaTheme="minorEastAsia" w:hAnsi="Cambria Math"/>
              <w:color w:val="000000" w:themeColor="text1"/>
              <w:kern w:val="24"/>
              <w:sz w:val="24"/>
              <w:szCs w:val="24"/>
            </w:rPr>
            <m:t>ρ</m:t>
          </m:r>
          <m:d>
            <m:dPr>
              <m:ctrlPr>
                <w:rPr>
                  <w:rFonts w:ascii="Cambria Math" w:eastAsiaTheme="minorEastAsia" w:hAnsi="Cambria Math"/>
                  <w:i/>
                  <w:color w:val="000000" w:themeColor="text1"/>
                  <w:kern w:val="24"/>
                  <w:sz w:val="24"/>
                  <w:szCs w:val="24"/>
                </w:rPr>
              </m:ctrlPr>
            </m:dPr>
            <m:e>
              <m:r>
                <w:rPr>
                  <w:rFonts w:ascii="Cambria Math" w:eastAsiaTheme="minorEastAsia" w:hAnsi="Cambria Math"/>
                  <w:color w:val="000000" w:themeColor="text1"/>
                  <w:kern w:val="24"/>
                  <w:sz w:val="24"/>
                  <w:szCs w:val="24"/>
                </w:rPr>
                <m:t>x,y</m:t>
              </m:r>
            </m:e>
          </m:d>
          <m:r>
            <w:rPr>
              <w:rFonts w:ascii="Cambria Math" w:eastAsiaTheme="minorEastAsia" w:hAnsi="Cambria Math"/>
              <w:color w:val="000000" w:themeColor="text1"/>
              <w:kern w:val="24"/>
              <w:sz w:val="24"/>
              <w:szCs w:val="24"/>
            </w:rPr>
            <m:t xml:space="preserve">= </m:t>
          </m:r>
          <m:f>
            <m:fPr>
              <m:ctrlPr>
                <w:rPr>
                  <w:rFonts w:ascii="Cambria Math" w:eastAsiaTheme="minorEastAsia" w:hAnsi="Cambria Math"/>
                  <w:i/>
                  <w:color w:val="000000" w:themeColor="text1"/>
                  <w:kern w:val="24"/>
                  <w:sz w:val="24"/>
                  <w:szCs w:val="24"/>
                </w:rPr>
              </m:ctrlPr>
            </m:fPr>
            <m:num>
              <m:r>
                <w:rPr>
                  <w:rFonts w:ascii="Cambria Math" w:eastAsiaTheme="minorEastAsia" w:hAnsi="Cambria Math"/>
                  <w:color w:val="000000" w:themeColor="text1"/>
                  <w:kern w:val="24"/>
                  <w:sz w:val="24"/>
                  <w:szCs w:val="24"/>
                </w:rPr>
                <m:t>1</m:t>
              </m:r>
            </m:num>
            <m:den>
              <m:r>
                <w:rPr>
                  <w:rFonts w:ascii="Cambria Math" w:eastAsiaTheme="minorEastAsia" w:hAnsi="Cambria Math"/>
                  <w:color w:val="000000" w:themeColor="text1"/>
                  <w:kern w:val="24"/>
                  <w:sz w:val="24"/>
                  <w:szCs w:val="24"/>
                </w:rPr>
                <m:t>N-1</m:t>
              </m:r>
            </m:den>
          </m:f>
          <m:nary>
            <m:naryPr>
              <m:chr m:val="∑"/>
              <m:limLoc m:val="undOvr"/>
              <m:ctrlPr>
                <w:rPr>
                  <w:rFonts w:ascii="Cambria Math" w:eastAsiaTheme="minorEastAsia" w:hAnsi="Cambria Math"/>
                  <w:i/>
                  <w:color w:val="000000" w:themeColor="text1"/>
                  <w:kern w:val="24"/>
                  <w:sz w:val="24"/>
                  <w:szCs w:val="24"/>
                </w:rPr>
              </m:ctrlPr>
            </m:naryPr>
            <m:sub>
              <m:r>
                <w:rPr>
                  <w:rFonts w:ascii="Cambria Math" w:eastAsiaTheme="minorEastAsia" w:hAnsi="Cambria Math"/>
                  <w:color w:val="000000" w:themeColor="text1"/>
                  <w:kern w:val="24"/>
                  <w:sz w:val="24"/>
                  <w:szCs w:val="24"/>
                </w:rPr>
                <m:t>t=1</m:t>
              </m:r>
            </m:sub>
            <m:sup>
              <m:r>
                <w:rPr>
                  <w:rFonts w:ascii="Cambria Math" w:eastAsiaTheme="minorEastAsia" w:hAnsi="Cambria Math"/>
                  <w:color w:val="000000" w:themeColor="text1"/>
                  <w:kern w:val="24"/>
                  <w:sz w:val="24"/>
                  <w:szCs w:val="24"/>
                </w:rPr>
                <m:t>N</m:t>
              </m:r>
            </m:sup>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x,t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x</m:t>
                                      </m:r>
                                    </m:sub>
                                  </m:sSub>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y,t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y</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e>
                          </m:d>
                        </m:e>
                        <m:sup>
                          <m:r>
                            <w:rPr>
                              <w:rFonts w:ascii="Cambria Math" w:hAnsi="Cambria Math"/>
                            </w:rPr>
                            <m:t>2</m:t>
                          </m:r>
                        </m:sup>
                      </m:sSup>
                    </m:e>
                  </m:d>
                  <m:r>
                    <w:rPr>
                      <w:rFonts w:ascii="Cambria Math" w:eastAsiaTheme="minorEastAsia" w:hAnsi="Cambria Math"/>
                      <w:color w:val="000000" w:themeColor="text1"/>
                      <w:kern w:val="24"/>
                      <w:sz w:val="24"/>
                      <w:szCs w:val="24"/>
                    </w:rPr>
                    <m:t xml:space="preserve"> × </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x,t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x</m:t>
                                  </m:r>
                                </m:sub>
                              </m:sSub>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y,t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y</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e>
                      </m:d>
                    </m:num>
                    <m:den>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x,t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x</m:t>
                                          </m:r>
                                        </m:sub>
                                      </m:sSub>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y,t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y</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e>
                              </m:d>
                            </m:e>
                            <m:sup>
                              <m:r>
                                <w:rPr>
                                  <w:rFonts w:ascii="Cambria Math" w:hAnsi="Cambria Math"/>
                                </w:rPr>
                                <m:t>2</m:t>
                              </m:r>
                            </m:sup>
                          </m:sSup>
                        </m:e>
                      </m:d>
                    </m:den>
                  </m:f>
                </m:e>
              </m:d>
              <m:r>
                <w:rPr>
                  <w:rFonts w:ascii="Cambria Math" w:eastAsiaTheme="minorEastAsia" w:hAnsi="Cambria Math"/>
                  <w:color w:val="000000" w:themeColor="text1"/>
                  <w:kern w:val="24"/>
                  <w:sz w:val="24"/>
                  <w:szCs w:val="24"/>
                </w:rPr>
                <m:t xml:space="preserve"> </m:t>
              </m:r>
            </m:e>
          </m:nary>
        </m:oMath>
      </m:oMathPara>
    </w:p>
    <w:p w14:paraId="2E9879F6" w14:textId="7FAF1B18" w:rsidR="00C565BB" w:rsidRPr="00281272" w:rsidRDefault="00F6117F" w:rsidP="007078B2">
      <w:pPr>
        <w:spacing w:line="480" w:lineRule="auto"/>
        <w:ind w:firstLine="720"/>
        <w:rPr>
          <w:rFonts w:eastAsiaTheme="minorEastAsia"/>
          <w:color w:val="000000" w:themeColor="text1"/>
          <w:kern w:val="24"/>
          <w:sz w:val="24"/>
          <w:szCs w:val="24"/>
        </w:rPr>
      </w:pPr>
      <w:r w:rsidRPr="00281272">
        <w:rPr>
          <w:noProof/>
          <w:sz w:val="24"/>
          <w:szCs w:val="24"/>
        </w:rPr>
        <mc:AlternateContent>
          <mc:Choice Requires="wps">
            <w:drawing>
              <wp:anchor distT="0" distB="0" distL="114300" distR="114300" simplePos="0" relativeHeight="251667456" behindDoc="0" locked="0" layoutInCell="1" allowOverlap="1" wp14:anchorId="595F1657" wp14:editId="54B17E32">
                <wp:simplePos x="0" y="0"/>
                <wp:positionH relativeFrom="margin">
                  <wp:posOffset>4832985</wp:posOffset>
                </wp:positionH>
                <wp:positionV relativeFrom="paragraph">
                  <wp:posOffset>945705</wp:posOffset>
                </wp:positionV>
                <wp:extent cx="1068779" cy="356259"/>
                <wp:effectExtent l="0" t="0" r="0" b="5715"/>
                <wp:wrapNone/>
                <wp:docPr id="26" name="Text Box 26"/>
                <wp:cNvGraphicFramePr/>
                <a:graphic xmlns:a="http://schemas.openxmlformats.org/drawingml/2006/main">
                  <a:graphicData uri="http://schemas.microsoft.com/office/word/2010/wordprocessingShape">
                    <wps:wsp>
                      <wps:cNvSpPr txBox="1"/>
                      <wps:spPr>
                        <a:xfrm>
                          <a:off x="0" y="0"/>
                          <a:ext cx="1068779" cy="356259"/>
                        </a:xfrm>
                        <a:prstGeom prst="rect">
                          <a:avLst/>
                        </a:prstGeom>
                        <a:noFill/>
                        <a:ln w="6350">
                          <a:noFill/>
                        </a:ln>
                      </wps:spPr>
                      <wps:txbx>
                        <w:txbxContent>
                          <w:p w14:paraId="5938E16D" w14:textId="6E563725" w:rsidR="00F6117F" w:rsidRPr="00DA5FFA" w:rsidRDefault="00F6117F" w:rsidP="00F6117F">
                            <w:pPr>
                              <w:jc w:val="right"/>
                              <w:rPr>
                                <w:sz w:val="24"/>
                                <w:szCs w:val="24"/>
                              </w:rPr>
                            </w:pPr>
                            <w:r w:rsidRPr="00DA5FFA">
                              <w:rPr>
                                <w:sz w:val="24"/>
                                <w:szCs w:val="24"/>
                              </w:rPr>
                              <w:t>(</w:t>
                            </w:r>
                            <w:r w:rsidR="00FE78BE">
                              <w:rPr>
                                <w:sz w:val="24"/>
                                <w:szCs w:val="24"/>
                              </w:rPr>
                              <w:t>7</w:t>
                            </w:r>
                            <w:r w:rsidRPr="00DA5FFA">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1657" id="Text Box 26" o:spid="_x0000_s1030" type="#_x0000_t202" style="position:absolute;left:0;text-align:left;margin-left:380.55pt;margin-top:74.45pt;width:84.15pt;height:28.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" filled="f" stroked="f" strokeweight=".5pt">
                <v:textbox>
                  <w:txbxContent>
                    <w:p w14:paraId="5938E16D" w14:textId="6E563725" w:rsidR="00F6117F" w:rsidRPr="00DA5FFA" w:rsidRDefault="00F6117F" w:rsidP="00F6117F">
                      <w:pPr>
                        <w:jc w:val="right"/>
                        <w:rPr>
                          <w:sz w:val="24"/>
                          <w:szCs w:val="24"/>
                        </w:rPr>
                      </w:pPr>
                      <w:r w:rsidRPr="00DA5FFA">
                        <w:rPr>
                          <w:sz w:val="24"/>
                          <w:szCs w:val="24"/>
                        </w:rPr>
                        <w:t>(</w:t>
                      </w:r>
                      <w:r w:rsidR="00FE78BE">
                        <w:rPr>
                          <w:sz w:val="24"/>
                          <w:szCs w:val="24"/>
                        </w:rPr>
                        <w:t>7</w:t>
                      </w:r>
                      <w:r w:rsidRPr="00DA5FFA">
                        <w:rPr>
                          <w:sz w:val="24"/>
                          <w:szCs w:val="24"/>
                        </w:rPr>
                        <w:t>)</w:t>
                      </w:r>
                    </w:p>
                  </w:txbxContent>
                </v:textbox>
                <w10:wrap anchorx="margin"/>
              </v:shape>
            </w:pict>
          </mc:Fallback>
        </mc:AlternateContent>
      </w:r>
      <w:r w:rsidR="00C565BB" w:rsidRPr="00281272">
        <w:rPr>
          <w:rFonts w:eastAsiaTheme="minorEastAsia"/>
          <w:color w:val="000000" w:themeColor="text1"/>
          <w:kern w:val="24"/>
          <w:sz w:val="24"/>
          <w:szCs w:val="24"/>
        </w:rPr>
        <w:t xml:space="preserve">This </w:t>
      </w:r>
      <w:r w:rsidR="0073566F">
        <w:rPr>
          <w:rFonts w:eastAsiaTheme="minorEastAsia"/>
          <w:color w:val="000000" w:themeColor="text1"/>
          <w:kern w:val="24"/>
          <w:sz w:val="24"/>
          <w:szCs w:val="24"/>
        </w:rPr>
        <w:t xml:space="preserve">equation </w:t>
      </w:r>
      <w:r w:rsidR="00C565BB" w:rsidRPr="00281272">
        <w:rPr>
          <w:rFonts w:eastAsiaTheme="minorEastAsia"/>
          <w:color w:val="000000" w:themeColor="text1"/>
          <w:kern w:val="24"/>
          <w:sz w:val="24"/>
          <w:szCs w:val="24"/>
        </w:rPr>
        <w:t>simplifies to</w:t>
      </w:r>
      <w:r w:rsidR="007078B2" w:rsidRPr="00281272">
        <w:rPr>
          <w:rFonts w:eastAsiaTheme="minorEastAsia"/>
          <w:color w:val="000000" w:themeColor="text1"/>
          <w:kern w:val="24"/>
          <w:sz w:val="24"/>
          <w:szCs w:val="24"/>
        </w:rPr>
        <w:t xml:space="preserve"> the assets’ full-sample covariance divided by the product of their standard deviations, the formula commonly used to measure time series correlation</w:t>
      </w:r>
      <w:r w:rsidR="007213EE" w:rsidRPr="00281272">
        <w:rPr>
          <w:rFonts w:eastAsiaTheme="minorEastAsia"/>
          <w:color w:val="000000" w:themeColor="text1"/>
          <w:kern w:val="24"/>
          <w:sz w:val="24"/>
          <w:szCs w:val="24"/>
        </w:rPr>
        <w:t>:</w:t>
      </w:r>
    </w:p>
    <w:p w14:paraId="5DD898E0" w14:textId="4E7A275C" w:rsidR="007213EE" w:rsidRPr="00281272" w:rsidRDefault="007213EE" w:rsidP="007078B2">
      <w:pPr>
        <w:spacing w:line="480" w:lineRule="auto"/>
        <w:ind w:firstLine="720"/>
        <w:rPr>
          <w:rFonts w:eastAsiaTheme="minorEastAsia"/>
          <w:color w:val="000000" w:themeColor="text1"/>
          <w:kern w:val="24"/>
          <w:sz w:val="24"/>
          <w:szCs w:val="24"/>
        </w:rPr>
      </w:pPr>
      <m:oMathPara>
        <m:oMath>
          <m:r>
            <w:rPr>
              <w:rFonts w:ascii="Cambria Math" w:eastAsiaTheme="minorEastAsia" w:hAnsi="Cambria Math"/>
              <w:color w:val="000000" w:themeColor="text1"/>
              <w:kern w:val="24"/>
              <w:sz w:val="24"/>
              <w:szCs w:val="24"/>
            </w:rPr>
            <m:t>ρ</m:t>
          </m:r>
          <m:d>
            <m:dPr>
              <m:ctrlPr>
                <w:rPr>
                  <w:rFonts w:ascii="Cambria Math" w:eastAsiaTheme="minorEastAsia" w:hAnsi="Cambria Math"/>
                  <w:i/>
                  <w:color w:val="000000" w:themeColor="text1"/>
                  <w:kern w:val="24"/>
                  <w:sz w:val="24"/>
                  <w:szCs w:val="24"/>
                </w:rPr>
              </m:ctrlPr>
            </m:dPr>
            <m:e>
              <m:r>
                <w:rPr>
                  <w:rFonts w:ascii="Cambria Math" w:eastAsiaTheme="minorEastAsia" w:hAnsi="Cambria Math"/>
                  <w:color w:val="000000" w:themeColor="text1"/>
                  <w:kern w:val="24"/>
                  <w:sz w:val="24"/>
                  <w:szCs w:val="24"/>
                </w:rPr>
                <m:t>x,y</m:t>
              </m:r>
            </m:e>
          </m:d>
          <m:r>
            <w:rPr>
              <w:rFonts w:ascii="Cambria Math" w:eastAsiaTheme="minorEastAsia" w:hAnsi="Cambria Math"/>
              <w:color w:val="000000" w:themeColor="text1"/>
              <w:kern w:val="24"/>
              <w:sz w:val="24"/>
              <w:szCs w:val="24"/>
            </w:rPr>
            <m:t xml:space="preserve">= </m:t>
          </m:r>
          <m:f>
            <m:fPr>
              <m:ctrlPr>
                <w:rPr>
                  <w:rFonts w:ascii="Cambria Math" w:eastAsiaTheme="minorEastAsia" w:hAnsi="Cambria Math"/>
                  <w:i/>
                  <w:color w:val="000000" w:themeColor="text1"/>
                  <w:kern w:val="24"/>
                  <w:sz w:val="24"/>
                  <w:szCs w:val="24"/>
                </w:rPr>
              </m:ctrlPr>
            </m:fPr>
            <m:num>
              <m:r>
                <w:rPr>
                  <w:rFonts w:ascii="Cambria Math" w:eastAsiaTheme="minorEastAsia" w:hAnsi="Cambria Math"/>
                  <w:color w:val="000000" w:themeColor="text1"/>
                  <w:kern w:val="24"/>
                  <w:sz w:val="24"/>
                  <w:szCs w:val="24"/>
                </w:rPr>
                <m:t>1</m:t>
              </m:r>
            </m:num>
            <m:den>
              <m:r>
                <w:rPr>
                  <w:rFonts w:ascii="Cambria Math" w:eastAsiaTheme="minorEastAsia" w:hAnsi="Cambria Math"/>
                  <w:color w:val="000000" w:themeColor="text1"/>
                  <w:kern w:val="24"/>
                  <w:sz w:val="24"/>
                  <w:szCs w:val="24"/>
                </w:rPr>
                <m:t>N-1</m:t>
              </m:r>
            </m:den>
          </m:f>
          <m:nary>
            <m:naryPr>
              <m:chr m:val="∑"/>
              <m:limLoc m:val="undOvr"/>
              <m:ctrlPr>
                <w:rPr>
                  <w:rFonts w:ascii="Cambria Math" w:eastAsiaTheme="minorEastAsia" w:hAnsi="Cambria Math"/>
                  <w:i/>
                  <w:color w:val="000000" w:themeColor="text1"/>
                  <w:kern w:val="24"/>
                  <w:sz w:val="24"/>
                  <w:szCs w:val="24"/>
                </w:rPr>
              </m:ctrlPr>
            </m:naryPr>
            <m:sub>
              <m:r>
                <w:rPr>
                  <w:rFonts w:ascii="Cambria Math" w:eastAsiaTheme="minorEastAsia" w:hAnsi="Cambria Math"/>
                  <w:color w:val="000000" w:themeColor="text1"/>
                  <w:kern w:val="24"/>
                  <w:sz w:val="24"/>
                  <w:szCs w:val="24"/>
                </w:rPr>
                <m:t>t=1</m:t>
              </m:r>
            </m:sub>
            <m:sup>
              <m:r>
                <w:rPr>
                  <w:rFonts w:ascii="Cambria Math" w:eastAsiaTheme="minorEastAsia" w:hAnsi="Cambria Math"/>
                  <w:color w:val="000000" w:themeColor="text1"/>
                  <w:kern w:val="24"/>
                  <w:sz w:val="24"/>
                  <w:szCs w:val="24"/>
                </w:rPr>
                <m:t>N</m:t>
              </m:r>
            </m:sup>
            <m:e>
              <m:d>
                <m:dPr>
                  <m:ctrlPr>
                    <w:rPr>
                      <w:rFonts w:ascii="Cambria Math" w:hAnsi="Cambria Math"/>
                      <w:i/>
                    </w:rPr>
                  </m:ctrlPr>
                </m:d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x,t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x</m:t>
                              </m:r>
                            </m:sub>
                          </m:sSub>
                        </m:num>
                        <m:den>
                          <m:sSub>
                            <m:sSubPr>
                              <m:ctrlPr>
                                <w:rPr>
                                  <w:rFonts w:ascii="Cambria Math" w:hAnsi="Cambria Math"/>
                                  <w:i/>
                                </w:rPr>
                              </m:ctrlPr>
                            </m:sSubPr>
                            <m:e>
                              <m:r>
                                <w:rPr>
                                  <w:rFonts w:ascii="Cambria Math" w:hAnsi="Cambria Math"/>
                                </w:rPr>
                                <m:t>σ</m:t>
                              </m:r>
                            </m:e>
                            <m:sub>
                              <m:r>
                                <w:rPr>
                                  <w:rFonts w:ascii="Cambria Math" w:hAnsi="Cambria Math"/>
                                </w:rPr>
                                <m:t>x</m:t>
                              </m:r>
                            </m:sub>
                          </m:sSub>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y,t</m:t>
                              </m:r>
                            </m:sub>
                          </m:sSub>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y</m:t>
                              </m:r>
                            </m:sub>
                          </m:sSub>
                        </m:num>
                        <m:den>
                          <m:sSub>
                            <m:sSubPr>
                              <m:ctrlPr>
                                <w:rPr>
                                  <w:rFonts w:ascii="Cambria Math" w:hAnsi="Cambria Math"/>
                                  <w:i/>
                                </w:rPr>
                              </m:ctrlPr>
                            </m:sSubPr>
                            <m:e>
                              <m:r>
                                <w:rPr>
                                  <w:rFonts w:ascii="Cambria Math" w:hAnsi="Cambria Math"/>
                                </w:rPr>
                                <m:t>σ</m:t>
                              </m:r>
                            </m:e>
                            <m:sub>
                              <m:r>
                                <w:rPr>
                                  <w:rFonts w:ascii="Cambria Math" w:hAnsi="Cambria Math"/>
                                </w:rPr>
                                <m:t>y</m:t>
                              </m:r>
                            </m:sub>
                          </m:sSub>
                        </m:den>
                      </m:f>
                    </m:e>
                  </m:d>
                </m:e>
              </m:d>
            </m:e>
          </m:nary>
          <m:r>
            <w:rPr>
              <w:rFonts w:ascii="Cambria Math" w:eastAsiaTheme="minorEastAsia" w:hAnsi="Cambria Math"/>
              <w:color w:val="000000" w:themeColor="text1"/>
              <w:kern w:val="24"/>
              <w:sz w:val="24"/>
              <w:szCs w:val="24"/>
            </w:rPr>
            <m:t xml:space="preserve">= </m:t>
          </m:r>
          <m:f>
            <m:fPr>
              <m:ctrlPr>
                <w:rPr>
                  <w:rFonts w:ascii="Cambria Math" w:eastAsiaTheme="minorEastAsia" w:hAnsi="Cambria Math"/>
                  <w:i/>
                  <w:color w:val="000000" w:themeColor="text1"/>
                  <w:kern w:val="24"/>
                  <w:sz w:val="24"/>
                  <w:szCs w:val="24"/>
                </w:rPr>
              </m:ctrlPr>
            </m:fPr>
            <m:num>
              <m:r>
                <w:rPr>
                  <w:rFonts w:ascii="Cambria Math" w:eastAsiaTheme="minorEastAsia" w:hAnsi="Cambria Math"/>
                  <w:color w:val="000000" w:themeColor="text1"/>
                  <w:kern w:val="24"/>
                  <w:sz w:val="24"/>
                  <w:szCs w:val="24"/>
                </w:rPr>
                <m:t>Cov(x,y)</m:t>
              </m:r>
            </m:num>
            <m:den>
              <m:sSub>
                <m:sSubPr>
                  <m:ctrlPr>
                    <w:rPr>
                      <w:rFonts w:ascii="Cambria Math" w:hAnsi="Cambria Math"/>
                      <w:i/>
                    </w:rPr>
                  </m:ctrlPr>
                </m:sSubPr>
                <m:e>
                  <m:r>
                    <w:rPr>
                      <w:rFonts w:ascii="Cambria Math" w:hAnsi="Cambria Math"/>
                    </w:rPr>
                    <m:t>σ</m:t>
                  </m:r>
                </m:e>
                <m:sub>
                  <m:r>
                    <w:rPr>
                      <w:rFonts w:ascii="Cambria Math" w:hAnsi="Cambria Math"/>
                    </w:rPr>
                    <m:t>x</m:t>
                  </m:r>
                </m:sub>
              </m:sSub>
              <m:sSub>
                <m:sSubPr>
                  <m:ctrlPr>
                    <w:rPr>
                      <w:rFonts w:ascii="Cambria Math" w:hAnsi="Cambria Math"/>
                      <w:i/>
                    </w:rPr>
                  </m:ctrlPr>
                </m:sSubPr>
                <m:e>
                  <m:r>
                    <w:rPr>
                      <w:rFonts w:ascii="Cambria Math" w:hAnsi="Cambria Math"/>
                    </w:rPr>
                    <m:t>σ</m:t>
                  </m:r>
                </m:e>
                <m:sub>
                  <m:r>
                    <w:rPr>
                      <w:rFonts w:ascii="Cambria Math" w:hAnsi="Cambria Math"/>
                    </w:rPr>
                    <m:t>y</m:t>
                  </m:r>
                </m:sub>
              </m:sSub>
            </m:den>
          </m:f>
        </m:oMath>
      </m:oMathPara>
    </w:p>
    <w:p w14:paraId="27765DAE" w14:textId="3BB7F785" w:rsidR="00021993" w:rsidRPr="00281272" w:rsidRDefault="00F6117F" w:rsidP="007078B2">
      <w:pPr>
        <w:spacing w:line="480" w:lineRule="auto"/>
        <w:ind w:firstLine="720"/>
        <w:rPr>
          <w:rFonts w:eastAsiaTheme="minorEastAsia"/>
          <w:color w:val="000000" w:themeColor="text1"/>
          <w:kern w:val="24"/>
          <w:sz w:val="24"/>
          <w:szCs w:val="24"/>
        </w:rPr>
      </w:pPr>
      <w:r w:rsidRPr="00281272">
        <w:rPr>
          <w:noProof/>
          <w:sz w:val="24"/>
          <w:szCs w:val="24"/>
        </w:rPr>
        <mc:AlternateContent>
          <mc:Choice Requires="wps">
            <w:drawing>
              <wp:anchor distT="0" distB="0" distL="114300" distR="114300" simplePos="0" relativeHeight="251669504" behindDoc="0" locked="0" layoutInCell="1" allowOverlap="1" wp14:anchorId="0113B4E8" wp14:editId="30D4A249">
                <wp:simplePos x="0" y="0"/>
                <wp:positionH relativeFrom="margin">
                  <wp:posOffset>4874895</wp:posOffset>
                </wp:positionH>
                <wp:positionV relativeFrom="paragraph">
                  <wp:posOffset>2941765</wp:posOffset>
                </wp:positionV>
                <wp:extent cx="1068779" cy="356259"/>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1068779" cy="356259"/>
                        </a:xfrm>
                        <a:prstGeom prst="rect">
                          <a:avLst/>
                        </a:prstGeom>
                        <a:noFill/>
                        <a:ln w="6350">
                          <a:noFill/>
                        </a:ln>
                      </wps:spPr>
                      <wps:txbx>
                        <w:txbxContent>
                          <w:p w14:paraId="5254723D" w14:textId="034EB400" w:rsidR="00F6117F" w:rsidRPr="00DA5FFA" w:rsidRDefault="00F6117F" w:rsidP="00F6117F">
                            <w:pPr>
                              <w:jc w:val="right"/>
                              <w:rPr>
                                <w:sz w:val="24"/>
                                <w:szCs w:val="24"/>
                              </w:rPr>
                            </w:pPr>
                            <w:r w:rsidRPr="00DA5FFA">
                              <w:rPr>
                                <w:sz w:val="24"/>
                                <w:szCs w:val="24"/>
                              </w:rPr>
                              <w:t>(</w:t>
                            </w:r>
                            <w:r w:rsidR="00FE78BE">
                              <w:rPr>
                                <w:sz w:val="24"/>
                                <w:szCs w:val="24"/>
                              </w:rPr>
                              <w:t>8</w:t>
                            </w:r>
                            <w:r w:rsidRPr="00DA5FFA">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3B4E8" id="Text Box 27" o:spid="_x0000_s1031" type="#_x0000_t202" style="position:absolute;left:0;text-align:left;margin-left:383.85pt;margin-top:231.65pt;width:84.15pt;height:28.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" filled="f" stroked="f" strokeweight=".5pt">
                <v:textbox>
                  <w:txbxContent>
                    <w:p w14:paraId="5254723D" w14:textId="034EB400" w:rsidR="00F6117F" w:rsidRPr="00DA5FFA" w:rsidRDefault="00F6117F" w:rsidP="00F6117F">
                      <w:pPr>
                        <w:jc w:val="right"/>
                        <w:rPr>
                          <w:sz w:val="24"/>
                          <w:szCs w:val="24"/>
                        </w:rPr>
                      </w:pPr>
                      <w:r w:rsidRPr="00DA5FFA">
                        <w:rPr>
                          <w:sz w:val="24"/>
                          <w:szCs w:val="24"/>
                        </w:rPr>
                        <w:t>(</w:t>
                      </w:r>
                      <w:r w:rsidR="00FE78BE">
                        <w:rPr>
                          <w:sz w:val="24"/>
                          <w:szCs w:val="24"/>
                        </w:rPr>
                        <w:t>8</w:t>
                      </w:r>
                      <w:r w:rsidRPr="00DA5FFA">
                        <w:rPr>
                          <w:sz w:val="24"/>
                          <w:szCs w:val="24"/>
                        </w:rPr>
                        <w:t>)</w:t>
                      </w:r>
                    </w:p>
                  </w:txbxContent>
                </v:textbox>
                <w10:wrap anchorx="margin"/>
              </v:shape>
            </w:pict>
          </mc:Fallback>
        </mc:AlternateContent>
      </w:r>
      <w:r w:rsidR="00A911B3" w:rsidRPr="00281272">
        <w:rPr>
          <w:rFonts w:eastAsiaTheme="minorEastAsia"/>
          <w:color w:val="000000" w:themeColor="text1"/>
          <w:kern w:val="24"/>
          <w:sz w:val="24"/>
          <w:szCs w:val="24"/>
        </w:rPr>
        <w:t xml:space="preserve">This equivalence reveals that </w:t>
      </w:r>
      <w:r w:rsidR="0003671D" w:rsidRPr="00281272">
        <w:rPr>
          <w:rFonts w:eastAsiaTheme="minorEastAsia"/>
          <w:color w:val="000000" w:themeColor="text1"/>
          <w:kern w:val="24"/>
          <w:sz w:val="24"/>
          <w:szCs w:val="24"/>
        </w:rPr>
        <w:t xml:space="preserve">we can interpret the Pearson correlation as </w:t>
      </w:r>
      <w:r w:rsidR="00A911B3" w:rsidRPr="00281272">
        <w:rPr>
          <w:rFonts w:eastAsiaTheme="minorEastAsia"/>
          <w:color w:val="000000" w:themeColor="text1"/>
          <w:kern w:val="24"/>
          <w:sz w:val="24"/>
          <w:szCs w:val="24"/>
        </w:rPr>
        <w:t>a weighted average of individual co-occurrences.</w:t>
      </w:r>
      <w:r w:rsidR="00E02D7C">
        <w:rPr>
          <w:rFonts w:eastAsiaTheme="minorEastAsia"/>
          <w:color w:val="000000" w:themeColor="text1"/>
          <w:kern w:val="24"/>
          <w:sz w:val="24"/>
          <w:szCs w:val="24"/>
        </w:rPr>
        <w:t xml:space="preserve"> </w:t>
      </w:r>
      <w:r w:rsidR="00A911B3" w:rsidRPr="00281272">
        <w:rPr>
          <w:rFonts w:eastAsiaTheme="minorEastAsia"/>
          <w:color w:val="000000" w:themeColor="text1"/>
          <w:kern w:val="24"/>
          <w:sz w:val="24"/>
          <w:szCs w:val="24"/>
        </w:rPr>
        <w:t xml:space="preserve"> Just as any single return is likely to deviate from its average, so too will individual co-occurrences deviate from their average</w:t>
      </w:r>
      <w:r w:rsidR="0061199C" w:rsidRPr="00281272">
        <w:rPr>
          <w:rFonts w:eastAsiaTheme="minorEastAsia"/>
          <w:color w:val="000000" w:themeColor="text1"/>
          <w:kern w:val="24"/>
          <w:sz w:val="24"/>
          <w:szCs w:val="24"/>
        </w:rPr>
        <w:t xml:space="preserve">, or Pearson correlation. </w:t>
      </w:r>
      <w:r w:rsidR="00E02D7C">
        <w:rPr>
          <w:rFonts w:eastAsiaTheme="minorEastAsia"/>
          <w:color w:val="000000" w:themeColor="text1"/>
          <w:kern w:val="24"/>
          <w:sz w:val="24"/>
          <w:szCs w:val="24"/>
        </w:rPr>
        <w:t xml:space="preserve"> </w:t>
      </w:r>
      <w:r w:rsidR="0061199C" w:rsidRPr="00281272">
        <w:rPr>
          <w:rFonts w:eastAsiaTheme="minorEastAsia"/>
          <w:color w:val="000000" w:themeColor="text1"/>
          <w:kern w:val="24"/>
          <w:sz w:val="24"/>
          <w:szCs w:val="24"/>
        </w:rPr>
        <w:t xml:space="preserve">It is useful to measure the typical dispersion of co-occurrences around their mean to understand how they may vary from one period to </w:t>
      </w:r>
      <w:r w:rsidR="009306C6">
        <w:rPr>
          <w:rFonts w:eastAsiaTheme="minorEastAsia"/>
          <w:color w:val="000000" w:themeColor="text1"/>
          <w:kern w:val="24"/>
          <w:sz w:val="24"/>
          <w:szCs w:val="24"/>
        </w:rPr>
        <w:t>another</w:t>
      </w:r>
      <w:r w:rsidR="0061199C" w:rsidRPr="00281272">
        <w:rPr>
          <w:rFonts w:eastAsiaTheme="minorEastAsia"/>
          <w:color w:val="000000" w:themeColor="text1"/>
          <w:kern w:val="24"/>
          <w:sz w:val="24"/>
          <w:szCs w:val="24"/>
        </w:rPr>
        <w:t>.</w:t>
      </w:r>
      <w:r w:rsidR="00E02D7C">
        <w:rPr>
          <w:rFonts w:eastAsiaTheme="minorEastAsia"/>
          <w:color w:val="000000" w:themeColor="text1"/>
          <w:kern w:val="24"/>
          <w:sz w:val="24"/>
          <w:szCs w:val="24"/>
        </w:rPr>
        <w:t xml:space="preserve"> </w:t>
      </w:r>
      <w:r w:rsidR="0061199C" w:rsidRPr="00281272">
        <w:rPr>
          <w:rFonts w:eastAsiaTheme="minorEastAsia"/>
          <w:color w:val="000000" w:themeColor="text1"/>
          <w:kern w:val="24"/>
          <w:sz w:val="24"/>
          <w:szCs w:val="24"/>
        </w:rPr>
        <w:t xml:space="preserve"> </w:t>
      </w:r>
      <w:r w:rsidR="00021993" w:rsidRPr="00281272">
        <w:rPr>
          <w:rFonts w:eastAsiaTheme="minorEastAsia"/>
          <w:color w:val="000000" w:themeColor="text1"/>
          <w:kern w:val="24"/>
          <w:sz w:val="24"/>
          <w:szCs w:val="24"/>
        </w:rPr>
        <w:t>To measure the dispersion of co-occurrences for a pair of assets, we estimate the standard deviation of their informativeness-weighted co-occurrences</w:t>
      </w:r>
      <w:r w:rsidR="00E02D7C">
        <w:rPr>
          <w:rFonts w:eastAsiaTheme="minorEastAsia"/>
          <w:color w:val="000000" w:themeColor="text1"/>
          <w:kern w:val="24"/>
          <w:sz w:val="24"/>
          <w:szCs w:val="24"/>
        </w:rPr>
        <w:t>, which are the elements whose average yields the correlation</w:t>
      </w:r>
      <w:r w:rsidR="00021993" w:rsidRPr="00281272">
        <w:rPr>
          <w:rFonts w:eastAsiaTheme="minorEastAsia"/>
          <w:color w:val="000000" w:themeColor="text1"/>
          <w:kern w:val="24"/>
          <w:sz w:val="24"/>
          <w:szCs w:val="24"/>
        </w:rPr>
        <w:t>:</w:t>
      </w:r>
    </w:p>
    <w:p w14:paraId="2D41448B" w14:textId="0FFABF21" w:rsidR="00021993" w:rsidRPr="00281272" w:rsidRDefault="00103FC8" w:rsidP="007078B2">
      <w:pPr>
        <w:spacing w:line="480" w:lineRule="auto"/>
        <w:jc w:val="center"/>
        <w:rPr>
          <w:rFonts w:eastAsiaTheme="minorEastAsia"/>
          <w:color w:val="000000" w:themeColor="text1"/>
          <w:kern w:val="24"/>
          <w:sz w:val="24"/>
          <w:szCs w:val="24"/>
        </w:rPr>
      </w:pPr>
      <m:oMathPara>
        <m:oMath>
          <m:r>
            <w:rPr>
              <w:rFonts w:ascii="Cambria Math" w:eastAsiaTheme="minorEastAsia" w:hAnsi="Cambria Math"/>
              <w:color w:val="000000" w:themeColor="text1"/>
              <w:kern w:val="24"/>
              <w:sz w:val="24"/>
              <w:szCs w:val="24"/>
            </w:rPr>
            <m:t>Dispersion</m:t>
          </m:r>
          <m:d>
            <m:dPr>
              <m:ctrlPr>
                <w:rPr>
                  <w:rFonts w:ascii="Cambria Math" w:eastAsiaTheme="minorEastAsia" w:hAnsi="Cambria Math"/>
                  <w:i/>
                  <w:color w:val="000000" w:themeColor="text1"/>
                  <w:kern w:val="24"/>
                  <w:sz w:val="24"/>
                  <w:szCs w:val="24"/>
                </w:rPr>
              </m:ctrlPr>
            </m:dPr>
            <m:e>
              <m:r>
                <w:rPr>
                  <w:rFonts w:ascii="Cambria Math" w:eastAsiaTheme="minorEastAsia" w:hAnsi="Cambria Math"/>
                  <w:color w:val="000000" w:themeColor="text1"/>
                  <w:kern w:val="24"/>
                  <w:sz w:val="24"/>
                  <w:szCs w:val="24"/>
                </w:rPr>
                <m:t>c</m:t>
              </m:r>
            </m:e>
          </m:d>
          <m:r>
            <w:rPr>
              <w:rFonts w:ascii="Cambria Math" w:eastAsiaTheme="minorEastAsia" w:hAnsi="Cambria Math"/>
              <w:color w:val="000000" w:themeColor="text1"/>
              <w:kern w:val="24"/>
              <w:sz w:val="24"/>
              <w:szCs w:val="24"/>
            </w:rPr>
            <m:t xml:space="preserve">= </m:t>
          </m:r>
          <m:rad>
            <m:radPr>
              <m:degHide m:val="1"/>
              <m:ctrlPr>
                <w:rPr>
                  <w:rFonts w:ascii="Cambria Math" w:eastAsiaTheme="minorEastAsia" w:hAnsi="Cambria Math"/>
                  <w:i/>
                  <w:color w:val="000000" w:themeColor="text1"/>
                  <w:kern w:val="24"/>
                  <w:sz w:val="24"/>
                  <w:szCs w:val="24"/>
                </w:rPr>
              </m:ctrlPr>
            </m:radPr>
            <m:deg/>
            <m:e>
              <m:f>
                <m:fPr>
                  <m:ctrlPr>
                    <w:rPr>
                      <w:rFonts w:ascii="Cambria Math" w:eastAsiaTheme="minorEastAsia" w:hAnsi="Cambria Math"/>
                      <w:i/>
                      <w:color w:val="000000" w:themeColor="text1"/>
                      <w:kern w:val="24"/>
                      <w:sz w:val="24"/>
                      <w:szCs w:val="24"/>
                    </w:rPr>
                  </m:ctrlPr>
                </m:fPr>
                <m:num>
                  <m:r>
                    <w:rPr>
                      <w:rFonts w:ascii="Cambria Math" w:eastAsiaTheme="minorEastAsia" w:hAnsi="Cambria Math"/>
                      <w:color w:val="000000" w:themeColor="text1"/>
                      <w:kern w:val="24"/>
                      <w:sz w:val="24"/>
                      <w:szCs w:val="24"/>
                    </w:rPr>
                    <m:t>1</m:t>
                  </m:r>
                </m:num>
                <m:den>
                  <m:r>
                    <w:rPr>
                      <w:rFonts w:ascii="Cambria Math" w:eastAsiaTheme="minorEastAsia" w:hAnsi="Cambria Math"/>
                      <w:color w:val="000000" w:themeColor="text1"/>
                      <w:kern w:val="24"/>
                      <w:sz w:val="24"/>
                      <w:szCs w:val="24"/>
                    </w:rPr>
                    <m:t>N-1</m:t>
                  </m:r>
                </m:den>
              </m:f>
              <m:nary>
                <m:naryPr>
                  <m:chr m:val="∑"/>
                  <m:limLoc m:val="undOvr"/>
                  <m:ctrlPr>
                    <w:rPr>
                      <w:rFonts w:ascii="Cambria Math" w:eastAsiaTheme="minorEastAsia" w:hAnsi="Cambria Math"/>
                      <w:i/>
                      <w:color w:val="000000" w:themeColor="text1"/>
                      <w:kern w:val="24"/>
                      <w:sz w:val="24"/>
                      <w:szCs w:val="24"/>
                    </w:rPr>
                  </m:ctrlPr>
                </m:naryPr>
                <m:sub>
                  <m:r>
                    <w:rPr>
                      <w:rFonts w:ascii="Cambria Math" w:eastAsiaTheme="minorEastAsia" w:hAnsi="Cambria Math"/>
                      <w:color w:val="000000" w:themeColor="text1"/>
                      <w:kern w:val="24"/>
                      <w:sz w:val="24"/>
                      <w:szCs w:val="24"/>
                    </w:rPr>
                    <m:t>t=1</m:t>
                  </m:r>
                </m:sub>
                <m:sup>
                  <m:r>
                    <w:rPr>
                      <w:rFonts w:ascii="Cambria Math" w:eastAsiaTheme="minorEastAsia" w:hAnsi="Cambria Math"/>
                      <w:color w:val="000000" w:themeColor="text1"/>
                      <w:kern w:val="24"/>
                      <w:sz w:val="24"/>
                      <w:szCs w:val="24"/>
                    </w:rPr>
                    <m:t>N</m:t>
                  </m:r>
                </m:sup>
                <m:e>
                  <m:sSup>
                    <m:sSupPr>
                      <m:ctrlPr>
                        <w:rPr>
                          <w:rFonts w:ascii="Cambria Math" w:eastAsiaTheme="minorEastAsia" w:hAnsi="Cambria Math"/>
                          <w:i/>
                          <w:color w:val="000000" w:themeColor="text1"/>
                          <w:kern w:val="24"/>
                          <w:sz w:val="24"/>
                          <w:szCs w:val="24"/>
                        </w:rPr>
                      </m:ctrlPr>
                    </m:sSupPr>
                    <m:e>
                      <m:d>
                        <m:dPr>
                          <m:ctrlPr>
                            <w:rPr>
                              <w:rFonts w:ascii="Cambria Math" w:eastAsiaTheme="minorEastAsia" w:hAnsi="Cambria Math"/>
                              <w:i/>
                              <w:color w:val="000000" w:themeColor="text1"/>
                              <w:kern w:val="24"/>
                              <w:sz w:val="24"/>
                              <w:szCs w:val="24"/>
                            </w:rPr>
                          </m:ctrlPr>
                        </m:dPr>
                        <m:e>
                          <m:d>
                            <m:dPr>
                              <m:ctrlPr>
                                <w:rPr>
                                  <w:rFonts w:ascii="Cambria Math" w:eastAsiaTheme="minorEastAsia" w:hAnsi="Cambria Math"/>
                                  <w:i/>
                                  <w:color w:val="000000" w:themeColor="text1"/>
                                  <w:kern w:val="24"/>
                                  <w:sz w:val="24"/>
                                  <w:szCs w:val="24"/>
                                </w:rPr>
                              </m:ctrlPr>
                            </m:dPr>
                            <m:e>
                              <m:sSub>
                                <m:sSubPr>
                                  <m:ctrlPr>
                                    <w:rPr>
                                      <w:rFonts w:ascii="Cambria Math" w:eastAsiaTheme="minorEastAsia" w:hAnsi="Cambria Math"/>
                                      <w:i/>
                                      <w:color w:val="000000" w:themeColor="text1"/>
                                      <w:kern w:val="24"/>
                                      <w:sz w:val="24"/>
                                      <w:szCs w:val="24"/>
                                    </w:rPr>
                                  </m:ctrlPr>
                                </m:sSubPr>
                                <m:e>
                                  <m:r>
                                    <w:rPr>
                                      <w:rFonts w:ascii="Cambria Math" w:eastAsiaTheme="minorEastAsia" w:hAnsi="Cambria Math"/>
                                      <w:color w:val="000000" w:themeColor="text1"/>
                                      <w:kern w:val="24"/>
                                      <w:sz w:val="24"/>
                                      <w:szCs w:val="24"/>
                                    </w:rPr>
                                    <m:t>info</m:t>
                                  </m:r>
                                </m:e>
                                <m:sub>
                                  <m:r>
                                    <w:rPr>
                                      <w:rFonts w:ascii="Cambria Math" w:eastAsiaTheme="minorEastAsia" w:hAnsi="Cambria Math"/>
                                      <w:color w:val="000000" w:themeColor="text1"/>
                                      <w:kern w:val="24"/>
                                      <w:sz w:val="24"/>
                                      <w:szCs w:val="24"/>
                                    </w:rPr>
                                    <m:t>t</m:t>
                                  </m:r>
                                </m:sub>
                              </m:sSub>
                              <m:r>
                                <w:rPr>
                                  <w:rFonts w:ascii="Cambria Math" w:eastAsiaTheme="minorEastAsia" w:hAnsi="Cambria Math"/>
                                  <w:color w:val="000000" w:themeColor="text1"/>
                                  <w:kern w:val="24"/>
                                  <w:sz w:val="24"/>
                                  <w:szCs w:val="24"/>
                                </w:rPr>
                                <m:t xml:space="preserve"> × </m:t>
                              </m:r>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eastAsiaTheme="minorEastAsia" w:hAnsi="Cambria Math"/>
                              <w:color w:val="000000" w:themeColor="text1"/>
                              <w:kern w:val="24"/>
                              <w:sz w:val="24"/>
                              <w:szCs w:val="24"/>
                            </w:rPr>
                            <m:t>-</m:t>
                          </m:r>
                          <m:f>
                            <m:fPr>
                              <m:ctrlPr>
                                <w:rPr>
                                  <w:rFonts w:ascii="Cambria Math" w:eastAsiaTheme="minorEastAsia" w:hAnsi="Cambria Math"/>
                                  <w:i/>
                                  <w:color w:val="000000" w:themeColor="text1"/>
                                  <w:kern w:val="24"/>
                                  <w:sz w:val="24"/>
                                  <w:szCs w:val="24"/>
                                </w:rPr>
                              </m:ctrlPr>
                            </m:fPr>
                            <m:num>
                              <m:r>
                                <w:rPr>
                                  <w:rFonts w:ascii="Cambria Math" w:eastAsiaTheme="minorEastAsia" w:hAnsi="Cambria Math"/>
                                  <w:color w:val="000000" w:themeColor="text1"/>
                                  <w:kern w:val="24"/>
                                  <w:sz w:val="24"/>
                                  <w:szCs w:val="24"/>
                                </w:rPr>
                                <m:t>1</m:t>
                              </m:r>
                            </m:num>
                            <m:den>
                              <m:r>
                                <w:rPr>
                                  <w:rFonts w:ascii="Cambria Math" w:eastAsiaTheme="minorEastAsia" w:hAnsi="Cambria Math"/>
                                  <w:color w:val="000000" w:themeColor="text1"/>
                                  <w:kern w:val="24"/>
                                  <w:sz w:val="24"/>
                                  <w:szCs w:val="24"/>
                                </w:rPr>
                                <m:t>N-1</m:t>
                              </m:r>
                            </m:den>
                          </m:f>
                          <m:nary>
                            <m:naryPr>
                              <m:chr m:val="∑"/>
                              <m:limLoc m:val="undOvr"/>
                              <m:ctrlPr>
                                <w:rPr>
                                  <w:rFonts w:ascii="Cambria Math" w:eastAsiaTheme="minorEastAsia" w:hAnsi="Cambria Math"/>
                                  <w:i/>
                                  <w:color w:val="000000" w:themeColor="text1"/>
                                  <w:kern w:val="24"/>
                                  <w:sz w:val="24"/>
                                  <w:szCs w:val="24"/>
                                </w:rPr>
                              </m:ctrlPr>
                            </m:naryPr>
                            <m:sub>
                              <m:r>
                                <w:rPr>
                                  <w:rFonts w:ascii="Cambria Math" w:eastAsiaTheme="minorEastAsia" w:hAnsi="Cambria Math"/>
                                  <w:color w:val="000000" w:themeColor="text1"/>
                                  <w:kern w:val="24"/>
                                  <w:sz w:val="24"/>
                                  <w:szCs w:val="24"/>
                                </w:rPr>
                                <m:t>t=1</m:t>
                              </m:r>
                            </m:sub>
                            <m:sup>
                              <m:r>
                                <w:rPr>
                                  <w:rFonts w:ascii="Cambria Math" w:eastAsiaTheme="minorEastAsia" w:hAnsi="Cambria Math"/>
                                  <w:color w:val="000000" w:themeColor="text1"/>
                                  <w:kern w:val="24"/>
                                  <w:sz w:val="24"/>
                                  <w:szCs w:val="24"/>
                                </w:rPr>
                                <m:t>N</m:t>
                              </m:r>
                            </m:sup>
                            <m:e>
                              <m:d>
                                <m:dPr>
                                  <m:ctrlPr>
                                    <w:rPr>
                                      <w:rFonts w:ascii="Cambria Math" w:eastAsiaTheme="minorEastAsia" w:hAnsi="Cambria Math"/>
                                      <w:i/>
                                      <w:color w:val="000000" w:themeColor="text1"/>
                                      <w:kern w:val="24"/>
                                      <w:sz w:val="24"/>
                                      <w:szCs w:val="24"/>
                                    </w:rPr>
                                  </m:ctrlPr>
                                </m:dPr>
                                <m:e>
                                  <m:sSub>
                                    <m:sSubPr>
                                      <m:ctrlPr>
                                        <w:rPr>
                                          <w:rFonts w:ascii="Cambria Math" w:eastAsiaTheme="minorEastAsia" w:hAnsi="Cambria Math"/>
                                          <w:i/>
                                          <w:color w:val="000000" w:themeColor="text1"/>
                                          <w:kern w:val="24"/>
                                          <w:sz w:val="24"/>
                                          <w:szCs w:val="24"/>
                                        </w:rPr>
                                      </m:ctrlPr>
                                    </m:sSubPr>
                                    <m:e>
                                      <m:r>
                                        <w:rPr>
                                          <w:rFonts w:ascii="Cambria Math" w:eastAsiaTheme="minorEastAsia" w:hAnsi="Cambria Math"/>
                                          <w:color w:val="000000" w:themeColor="text1"/>
                                          <w:kern w:val="24"/>
                                          <w:sz w:val="24"/>
                                          <w:szCs w:val="24"/>
                                        </w:rPr>
                                        <m:t>info</m:t>
                                      </m:r>
                                    </m:e>
                                    <m:sub>
                                      <m:r>
                                        <w:rPr>
                                          <w:rFonts w:ascii="Cambria Math" w:eastAsiaTheme="minorEastAsia" w:hAnsi="Cambria Math"/>
                                          <w:color w:val="000000" w:themeColor="text1"/>
                                          <w:kern w:val="24"/>
                                          <w:sz w:val="24"/>
                                          <w:szCs w:val="24"/>
                                        </w:rPr>
                                        <m:t>t</m:t>
                                      </m:r>
                                    </m:sub>
                                  </m:sSub>
                                  <m:r>
                                    <w:rPr>
                                      <w:rFonts w:ascii="Cambria Math" w:eastAsiaTheme="minorEastAsia" w:hAnsi="Cambria Math"/>
                                      <w:color w:val="000000" w:themeColor="text1"/>
                                      <w:kern w:val="24"/>
                                      <w:sz w:val="24"/>
                                      <w:szCs w:val="24"/>
                                    </w:rPr>
                                    <m:t xml:space="preserve"> × </m:t>
                                  </m:r>
                                  <m:sSub>
                                    <m:sSubPr>
                                      <m:ctrlPr>
                                        <w:rPr>
                                          <w:rFonts w:ascii="Cambria Math" w:hAnsi="Cambria Math"/>
                                          <w:i/>
                                        </w:rPr>
                                      </m:ctrlPr>
                                    </m:sSubPr>
                                    <m:e>
                                      <m:r>
                                        <w:rPr>
                                          <w:rFonts w:ascii="Cambria Math" w:hAnsi="Cambria Math"/>
                                        </w:rPr>
                                        <m:t>c</m:t>
                                      </m:r>
                                    </m:e>
                                    <m:sub>
                                      <m:r>
                                        <w:rPr>
                                          <w:rFonts w:ascii="Cambria Math" w:hAnsi="Cambria Math"/>
                                        </w:rPr>
                                        <m:t>t</m:t>
                                      </m:r>
                                    </m:sub>
                                  </m:sSub>
                                </m:e>
                              </m:d>
                            </m:e>
                          </m:nary>
                        </m:e>
                      </m:d>
                    </m:e>
                    <m:sup>
                      <m:r>
                        <w:rPr>
                          <w:rFonts w:ascii="Cambria Math" w:eastAsiaTheme="minorEastAsia" w:hAnsi="Cambria Math"/>
                          <w:color w:val="000000" w:themeColor="text1"/>
                          <w:kern w:val="24"/>
                          <w:sz w:val="24"/>
                          <w:szCs w:val="24"/>
                        </w:rPr>
                        <m:t>2</m:t>
                      </m:r>
                    </m:sup>
                  </m:sSup>
                </m:e>
              </m:nary>
            </m:e>
          </m:rad>
        </m:oMath>
      </m:oMathPara>
    </w:p>
    <w:p w14:paraId="0EAC8FDD" w14:textId="434BBE29" w:rsidR="00021993" w:rsidRPr="00281272" w:rsidRDefault="00021993" w:rsidP="007078B2">
      <w:pPr>
        <w:spacing w:line="480" w:lineRule="auto"/>
        <w:rPr>
          <w:rFonts w:eastAsiaTheme="minorEastAsia"/>
          <w:color w:val="000000" w:themeColor="text1"/>
          <w:kern w:val="24"/>
          <w:sz w:val="24"/>
          <w:szCs w:val="24"/>
        </w:rPr>
      </w:pPr>
      <w:r w:rsidRPr="00281272">
        <w:rPr>
          <w:rFonts w:eastAsiaTheme="minorEastAsia"/>
          <w:color w:val="000000" w:themeColor="text1"/>
          <w:kern w:val="24"/>
          <w:sz w:val="24"/>
          <w:szCs w:val="24"/>
        </w:rPr>
        <w:tab/>
      </w:r>
      <w:r w:rsidR="00517330" w:rsidRPr="00281272">
        <w:rPr>
          <w:rFonts w:eastAsiaTheme="minorEastAsia"/>
          <w:color w:val="000000" w:themeColor="text1"/>
          <w:kern w:val="24"/>
          <w:sz w:val="24"/>
          <w:szCs w:val="24"/>
        </w:rPr>
        <w:t xml:space="preserve"> </w:t>
      </w:r>
    </w:p>
    <w:p w14:paraId="636A82E4" w14:textId="4BCB04BC" w:rsidR="001862C8" w:rsidRPr="00281272" w:rsidRDefault="00021993" w:rsidP="007078B2">
      <w:pPr>
        <w:spacing w:line="480" w:lineRule="auto"/>
        <w:rPr>
          <w:rFonts w:eastAsiaTheme="minorEastAsia"/>
          <w:color w:val="000000" w:themeColor="text1"/>
          <w:kern w:val="24"/>
          <w:sz w:val="24"/>
          <w:szCs w:val="24"/>
        </w:rPr>
      </w:pPr>
      <w:r w:rsidRPr="00281272">
        <w:rPr>
          <w:rFonts w:eastAsiaTheme="minorEastAsia"/>
          <w:color w:val="000000" w:themeColor="text1"/>
          <w:kern w:val="24"/>
          <w:sz w:val="24"/>
          <w:szCs w:val="24"/>
        </w:rPr>
        <w:lastRenderedPageBreak/>
        <w:tab/>
        <w:t xml:space="preserve">For our purposes, we are interested in whether co-occurrences measured over event periods are more stable, or less disperse, than those measured over calendar periods. </w:t>
      </w:r>
      <w:r w:rsidR="00E02D7C">
        <w:rPr>
          <w:rFonts w:eastAsiaTheme="minorEastAsia"/>
          <w:color w:val="000000" w:themeColor="text1"/>
          <w:kern w:val="24"/>
          <w:sz w:val="24"/>
          <w:szCs w:val="24"/>
        </w:rPr>
        <w:t xml:space="preserve"> </w:t>
      </w:r>
      <w:r w:rsidRPr="00281272">
        <w:rPr>
          <w:rFonts w:eastAsiaTheme="minorEastAsia"/>
          <w:color w:val="000000" w:themeColor="text1"/>
          <w:kern w:val="24"/>
          <w:sz w:val="24"/>
          <w:szCs w:val="24"/>
        </w:rPr>
        <w:t xml:space="preserve">Based on rolling event and calendar returns from the previous section, Exhibit </w:t>
      </w:r>
      <w:r w:rsidR="0073566F">
        <w:rPr>
          <w:rFonts w:eastAsiaTheme="minorEastAsia"/>
          <w:color w:val="000000" w:themeColor="text1"/>
          <w:kern w:val="24"/>
          <w:sz w:val="24"/>
          <w:szCs w:val="24"/>
        </w:rPr>
        <w:t>6</w:t>
      </w:r>
      <w:r w:rsidRPr="00281272">
        <w:rPr>
          <w:rFonts w:eastAsiaTheme="minorEastAsia"/>
          <w:color w:val="000000" w:themeColor="text1"/>
          <w:kern w:val="24"/>
          <w:sz w:val="24"/>
          <w:szCs w:val="24"/>
        </w:rPr>
        <w:t xml:space="preserve"> reports the dispersion of co-occurrences for each pair of assets. </w:t>
      </w:r>
      <w:r w:rsidR="00E02D7C">
        <w:rPr>
          <w:rFonts w:eastAsiaTheme="minorEastAsia"/>
          <w:color w:val="000000" w:themeColor="text1"/>
          <w:kern w:val="24"/>
          <w:sz w:val="24"/>
          <w:szCs w:val="24"/>
        </w:rPr>
        <w:t xml:space="preserve"> </w:t>
      </w:r>
      <w:r w:rsidR="00517330" w:rsidRPr="00281272">
        <w:rPr>
          <w:rFonts w:eastAsiaTheme="minorEastAsia"/>
          <w:color w:val="000000" w:themeColor="text1"/>
          <w:kern w:val="24"/>
          <w:sz w:val="24"/>
          <w:szCs w:val="24"/>
        </w:rPr>
        <w:t xml:space="preserve">Though individual co-occurrences </w:t>
      </w:r>
      <w:r w:rsidR="00103FC8" w:rsidRPr="00281272">
        <w:rPr>
          <w:rFonts w:eastAsiaTheme="minorEastAsia"/>
          <w:color w:val="000000" w:themeColor="text1"/>
          <w:kern w:val="24"/>
          <w:sz w:val="24"/>
          <w:szCs w:val="24"/>
        </w:rPr>
        <w:t xml:space="preserve">as defined in Equation </w:t>
      </w:r>
      <w:r w:rsidR="00FE78BE">
        <w:rPr>
          <w:rFonts w:eastAsiaTheme="minorEastAsia"/>
          <w:color w:val="000000" w:themeColor="text1"/>
          <w:kern w:val="24"/>
          <w:sz w:val="24"/>
          <w:szCs w:val="24"/>
        </w:rPr>
        <w:t>4</w:t>
      </w:r>
      <w:r w:rsidR="00103FC8" w:rsidRPr="00281272">
        <w:rPr>
          <w:rFonts w:eastAsiaTheme="minorEastAsia"/>
          <w:color w:val="000000" w:themeColor="text1"/>
          <w:kern w:val="24"/>
          <w:sz w:val="24"/>
          <w:szCs w:val="24"/>
        </w:rPr>
        <w:t xml:space="preserve"> </w:t>
      </w:r>
      <w:r w:rsidR="00E863D2" w:rsidRPr="00281272">
        <w:rPr>
          <w:rFonts w:eastAsiaTheme="minorEastAsia"/>
          <w:color w:val="000000" w:themeColor="text1"/>
          <w:kern w:val="24"/>
          <w:sz w:val="24"/>
          <w:szCs w:val="24"/>
        </w:rPr>
        <w:t>are bound</w:t>
      </w:r>
      <w:r w:rsidR="00517330" w:rsidRPr="00281272">
        <w:rPr>
          <w:rFonts w:eastAsiaTheme="minorEastAsia"/>
          <w:color w:val="000000" w:themeColor="text1"/>
          <w:kern w:val="24"/>
          <w:sz w:val="24"/>
          <w:szCs w:val="24"/>
        </w:rPr>
        <w:t xml:space="preserve"> between</w:t>
      </w:r>
      <w:r w:rsidR="00E02D7C">
        <w:rPr>
          <w:rFonts w:eastAsiaTheme="minorEastAsia"/>
          <w:color w:val="000000" w:themeColor="text1"/>
          <w:kern w:val="24"/>
          <w:sz w:val="24"/>
          <w:szCs w:val="24"/>
        </w:rPr>
        <w:t xml:space="preserve"> –</w:t>
      </w:r>
      <w:r w:rsidR="00517330" w:rsidRPr="00281272">
        <w:rPr>
          <w:rFonts w:eastAsiaTheme="minorEastAsia"/>
          <w:color w:val="000000" w:themeColor="text1"/>
          <w:kern w:val="24"/>
          <w:sz w:val="24"/>
          <w:szCs w:val="24"/>
        </w:rPr>
        <w:t xml:space="preserve">1 and 1, it is possible for their </w:t>
      </w:r>
      <w:r w:rsidR="00D304FF" w:rsidRPr="00281272">
        <w:rPr>
          <w:rFonts w:eastAsiaTheme="minorEastAsia"/>
          <w:color w:val="000000" w:themeColor="text1"/>
          <w:kern w:val="24"/>
          <w:sz w:val="24"/>
          <w:szCs w:val="24"/>
        </w:rPr>
        <w:t>dispersion</w:t>
      </w:r>
      <w:r w:rsidR="00103FC8" w:rsidRPr="00281272">
        <w:rPr>
          <w:rFonts w:eastAsiaTheme="minorEastAsia"/>
          <w:color w:val="000000" w:themeColor="text1"/>
          <w:kern w:val="24"/>
          <w:sz w:val="24"/>
          <w:szCs w:val="24"/>
        </w:rPr>
        <w:t xml:space="preserve">, as defined in Equation </w:t>
      </w:r>
      <w:r w:rsidR="00E406A8">
        <w:rPr>
          <w:rFonts w:eastAsiaTheme="minorEastAsia"/>
          <w:color w:val="000000" w:themeColor="text1"/>
          <w:kern w:val="24"/>
          <w:sz w:val="24"/>
          <w:szCs w:val="24"/>
        </w:rPr>
        <w:t>8</w:t>
      </w:r>
      <w:r w:rsidR="00103FC8" w:rsidRPr="00281272">
        <w:rPr>
          <w:rFonts w:eastAsiaTheme="minorEastAsia"/>
          <w:color w:val="000000" w:themeColor="text1"/>
          <w:kern w:val="24"/>
          <w:sz w:val="24"/>
          <w:szCs w:val="24"/>
        </w:rPr>
        <w:t>,</w:t>
      </w:r>
      <w:r w:rsidR="00517330" w:rsidRPr="00281272">
        <w:rPr>
          <w:rFonts w:eastAsiaTheme="minorEastAsia"/>
          <w:color w:val="000000" w:themeColor="text1"/>
          <w:kern w:val="24"/>
          <w:sz w:val="24"/>
          <w:szCs w:val="24"/>
        </w:rPr>
        <w:t xml:space="preserve"> to extend </w:t>
      </w:r>
      <w:r w:rsidR="00E863D2" w:rsidRPr="00281272">
        <w:rPr>
          <w:rFonts w:eastAsiaTheme="minorEastAsia"/>
          <w:color w:val="000000" w:themeColor="text1"/>
          <w:kern w:val="24"/>
          <w:sz w:val="24"/>
          <w:szCs w:val="24"/>
        </w:rPr>
        <w:t>beyond</w:t>
      </w:r>
      <w:r w:rsidR="00517330" w:rsidRPr="00281272">
        <w:rPr>
          <w:rFonts w:eastAsiaTheme="minorEastAsia"/>
          <w:color w:val="000000" w:themeColor="text1"/>
          <w:kern w:val="24"/>
          <w:sz w:val="24"/>
          <w:szCs w:val="24"/>
        </w:rPr>
        <w:t xml:space="preserve"> this range. </w:t>
      </w:r>
      <w:r w:rsidR="00E02D7C">
        <w:rPr>
          <w:rFonts w:eastAsiaTheme="minorEastAsia"/>
          <w:color w:val="000000" w:themeColor="text1"/>
          <w:kern w:val="24"/>
          <w:sz w:val="24"/>
          <w:szCs w:val="24"/>
        </w:rPr>
        <w:t xml:space="preserve"> </w:t>
      </w:r>
      <w:r w:rsidR="00EC3910" w:rsidRPr="00281272">
        <w:rPr>
          <w:rFonts w:eastAsiaTheme="minorEastAsia"/>
          <w:color w:val="000000" w:themeColor="text1"/>
          <w:kern w:val="24"/>
          <w:sz w:val="24"/>
          <w:szCs w:val="24"/>
        </w:rPr>
        <w:t xml:space="preserve">Mathematically, this </w:t>
      </w:r>
      <w:r w:rsidR="00F41E28">
        <w:rPr>
          <w:rFonts w:eastAsiaTheme="minorEastAsia"/>
          <w:color w:val="000000" w:themeColor="text1"/>
          <w:kern w:val="24"/>
          <w:sz w:val="24"/>
          <w:szCs w:val="24"/>
        </w:rPr>
        <w:t>results from</w:t>
      </w:r>
      <w:r w:rsidR="00517330" w:rsidRPr="00281272">
        <w:rPr>
          <w:rFonts w:eastAsiaTheme="minorEastAsia"/>
          <w:color w:val="000000" w:themeColor="text1"/>
          <w:kern w:val="24"/>
          <w:sz w:val="24"/>
          <w:szCs w:val="24"/>
        </w:rPr>
        <w:t xml:space="preserve"> </w:t>
      </w:r>
      <w:r w:rsidR="00103FC8" w:rsidRPr="00281272">
        <w:rPr>
          <w:rFonts w:eastAsiaTheme="minorEastAsia"/>
          <w:color w:val="000000" w:themeColor="text1"/>
          <w:kern w:val="24"/>
          <w:sz w:val="24"/>
          <w:szCs w:val="24"/>
        </w:rPr>
        <w:t xml:space="preserve">multiplying </w:t>
      </w:r>
      <w:r w:rsidR="00D304FF" w:rsidRPr="00281272">
        <w:rPr>
          <w:rFonts w:eastAsiaTheme="minorEastAsia"/>
          <w:color w:val="000000" w:themeColor="text1"/>
          <w:kern w:val="24"/>
          <w:sz w:val="24"/>
          <w:szCs w:val="24"/>
        </w:rPr>
        <w:t>the individual co-occurrences</w:t>
      </w:r>
      <w:r w:rsidR="00517330" w:rsidRPr="00281272">
        <w:rPr>
          <w:rFonts w:eastAsiaTheme="minorEastAsia"/>
          <w:color w:val="000000" w:themeColor="text1"/>
          <w:kern w:val="24"/>
          <w:sz w:val="24"/>
          <w:szCs w:val="24"/>
        </w:rPr>
        <w:t xml:space="preserve"> by </w:t>
      </w:r>
      <w:r w:rsidR="00D304FF" w:rsidRPr="00281272">
        <w:rPr>
          <w:rFonts w:eastAsiaTheme="minorEastAsia"/>
          <w:color w:val="000000" w:themeColor="text1"/>
          <w:kern w:val="24"/>
          <w:sz w:val="24"/>
          <w:szCs w:val="24"/>
        </w:rPr>
        <w:t xml:space="preserve">their </w:t>
      </w:r>
      <w:r w:rsidR="00517330" w:rsidRPr="00281272">
        <w:rPr>
          <w:rFonts w:eastAsiaTheme="minorEastAsia"/>
          <w:color w:val="000000" w:themeColor="text1"/>
          <w:kern w:val="24"/>
          <w:sz w:val="24"/>
          <w:szCs w:val="24"/>
        </w:rPr>
        <w:t>informativeness</w:t>
      </w:r>
      <w:r w:rsidR="00EC3910" w:rsidRPr="00281272">
        <w:rPr>
          <w:rFonts w:eastAsiaTheme="minorEastAsia"/>
          <w:color w:val="000000" w:themeColor="text1"/>
          <w:kern w:val="24"/>
          <w:sz w:val="24"/>
          <w:szCs w:val="24"/>
        </w:rPr>
        <w:t xml:space="preserve"> before estimating their standard deviation. </w:t>
      </w:r>
    </w:p>
    <w:p w14:paraId="5239FA91" w14:textId="77777777" w:rsidR="00DA5FFA" w:rsidRPr="00281272" w:rsidRDefault="00DA5FFA" w:rsidP="00575C5C">
      <w:pPr>
        <w:spacing w:line="480" w:lineRule="auto"/>
        <w:jc w:val="center"/>
        <w:rPr>
          <w:sz w:val="24"/>
          <w:szCs w:val="24"/>
        </w:rPr>
      </w:pPr>
    </w:p>
    <w:p w14:paraId="0FA4BF66" w14:textId="2251755A" w:rsidR="00575C5C" w:rsidRPr="00281272" w:rsidRDefault="00575C5C" w:rsidP="00575C5C">
      <w:pPr>
        <w:spacing w:line="480" w:lineRule="auto"/>
        <w:jc w:val="center"/>
        <w:rPr>
          <w:sz w:val="24"/>
          <w:szCs w:val="24"/>
        </w:rPr>
      </w:pPr>
      <w:r w:rsidRPr="00281272">
        <w:rPr>
          <w:sz w:val="24"/>
          <w:szCs w:val="24"/>
        </w:rPr>
        <w:t xml:space="preserve">Exhibit </w:t>
      </w:r>
      <w:r w:rsidR="0073566F">
        <w:rPr>
          <w:sz w:val="24"/>
          <w:szCs w:val="24"/>
        </w:rPr>
        <w:t>6</w:t>
      </w:r>
      <w:r w:rsidRPr="00281272">
        <w:rPr>
          <w:sz w:val="24"/>
          <w:szCs w:val="24"/>
        </w:rPr>
        <w:t xml:space="preserve">: </w:t>
      </w:r>
      <w:r w:rsidR="00F76419" w:rsidRPr="00281272">
        <w:rPr>
          <w:sz w:val="24"/>
          <w:szCs w:val="24"/>
        </w:rPr>
        <w:t xml:space="preserve">Dispersion </w:t>
      </w:r>
      <w:r w:rsidR="00CD2FF1" w:rsidRPr="00281272">
        <w:rPr>
          <w:sz w:val="24"/>
          <w:szCs w:val="24"/>
        </w:rPr>
        <w:t>of</w:t>
      </w:r>
      <w:r w:rsidR="00F76419" w:rsidRPr="00281272">
        <w:rPr>
          <w:sz w:val="24"/>
          <w:szCs w:val="24"/>
        </w:rPr>
        <w:t xml:space="preserve"> Co-occurrences </w:t>
      </w:r>
      <w:r w:rsidR="001F64DD" w:rsidRPr="00281272">
        <w:rPr>
          <w:sz w:val="24"/>
          <w:szCs w:val="24"/>
        </w:rPr>
        <w:t>for</w:t>
      </w:r>
      <w:r w:rsidR="00F76419" w:rsidRPr="00281272">
        <w:rPr>
          <w:sz w:val="24"/>
          <w:szCs w:val="24"/>
        </w:rPr>
        <w:t xml:space="preserve"> Asset Class Returns in Calendar Time and Event Time</w:t>
      </w:r>
    </w:p>
    <w:p w14:paraId="214282E8" w14:textId="2491F891" w:rsidR="00575C5C" w:rsidRPr="00281272" w:rsidRDefault="00575C5C" w:rsidP="00575C5C">
      <w:pPr>
        <w:spacing w:line="480" w:lineRule="auto"/>
        <w:jc w:val="center"/>
        <w:rPr>
          <w:bCs/>
          <w:sz w:val="24"/>
          <w:szCs w:val="24"/>
        </w:rPr>
      </w:pPr>
      <w:r w:rsidRPr="00281272">
        <w:rPr>
          <w:sz w:val="24"/>
          <w:szCs w:val="24"/>
        </w:rPr>
        <w:t>Calendar Returns</w:t>
      </w:r>
      <w:r w:rsidR="000C6111" w:rsidRPr="00281272">
        <w:rPr>
          <w:bCs/>
          <w:noProof/>
          <w:sz w:val="24"/>
          <w:szCs w:val="24"/>
        </w:rPr>
        <w:t xml:space="preserve"> </w:t>
      </w:r>
      <w:r w:rsidR="000C6111" w:rsidRPr="00281272">
        <w:rPr>
          <w:bCs/>
          <w:noProof/>
          <w:sz w:val="24"/>
          <w:szCs w:val="24"/>
        </w:rPr>
        <w:drawing>
          <wp:inline distT="0" distB="0" distL="0" distR="0" wp14:anchorId="1316AF5A" wp14:editId="3028AE49">
            <wp:extent cx="5172075" cy="1219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2075" cy="1219200"/>
                    </a:xfrm>
                    <a:prstGeom prst="rect">
                      <a:avLst/>
                    </a:prstGeom>
                    <a:noFill/>
                    <a:ln>
                      <a:noFill/>
                    </a:ln>
                  </pic:spPr>
                </pic:pic>
              </a:graphicData>
            </a:graphic>
          </wp:inline>
        </w:drawing>
      </w:r>
    </w:p>
    <w:p w14:paraId="4F262A3A" w14:textId="450EBF2E" w:rsidR="00575C5C" w:rsidRPr="00281272" w:rsidRDefault="00575C5C" w:rsidP="00575C5C">
      <w:pPr>
        <w:spacing w:line="480" w:lineRule="auto"/>
        <w:jc w:val="center"/>
        <w:rPr>
          <w:bCs/>
          <w:sz w:val="24"/>
          <w:szCs w:val="24"/>
        </w:rPr>
      </w:pPr>
      <w:r w:rsidRPr="00281272">
        <w:rPr>
          <w:bCs/>
          <w:sz w:val="24"/>
          <w:szCs w:val="24"/>
        </w:rPr>
        <w:t>Event Returns</w:t>
      </w:r>
      <w:r w:rsidR="000C6111" w:rsidRPr="00281272">
        <w:rPr>
          <w:bCs/>
          <w:noProof/>
          <w:sz w:val="24"/>
          <w:szCs w:val="24"/>
        </w:rPr>
        <w:t xml:space="preserve"> </w:t>
      </w:r>
      <w:r w:rsidR="000C6111" w:rsidRPr="00281272">
        <w:rPr>
          <w:bCs/>
          <w:noProof/>
          <w:sz w:val="24"/>
          <w:szCs w:val="24"/>
        </w:rPr>
        <w:drawing>
          <wp:inline distT="0" distB="0" distL="0" distR="0" wp14:anchorId="47C80F23" wp14:editId="08A32F8B">
            <wp:extent cx="5172075" cy="1219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2075" cy="1219200"/>
                    </a:xfrm>
                    <a:prstGeom prst="rect">
                      <a:avLst/>
                    </a:prstGeom>
                    <a:noFill/>
                    <a:ln>
                      <a:noFill/>
                    </a:ln>
                  </pic:spPr>
                </pic:pic>
              </a:graphicData>
            </a:graphic>
          </wp:inline>
        </w:drawing>
      </w:r>
    </w:p>
    <w:p w14:paraId="215FBA8A" w14:textId="1EE9FB20" w:rsidR="00575C5C" w:rsidRDefault="0073566F" w:rsidP="002E0155">
      <w:pPr>
        <w:spacing w:line="480" w:lineRule="auto"/>
        <w:rPr>
          <w:bCs/>
          <w:sz w:val="24"/>
          <w:szCs w:val="24"/>
        </w:rPr>
      </w:pPr>
      <w:r>
        <w:rPr>
          <w:bCs/>
          <w:sz w:val="24"/>
          <w:szCs w:val="24"/>
        </w:rPr>
        <w:tab/>
        <w:t>Exhibit 6 reveals that the dispersion of co-occurrence is uniformly lower across asset class pairs when their returns are measured in event time as opposed to calendar time</w:t>
      </w:r>
      <w:r w:rsidR="00957D6B">
        <w:rPr>
          <w:bCs/>
          <w:sz w:val="24"/>
          <w:szCs w:val="24"/>
        </w:rPr>
        <w:t xml:space="preserve">, which </w:t>
      </w:r>
      <w:r w:rsidR="00957D6B">
        <w:rPr>
          <w:bCs/>
          <w:sz w:val="24"/>
          <w:szCs w:val="24"/>
        </w:rPr>
        <w:lastRenderedPageBreak/>
        <w:t>means that correlations measured in event time are more reliable than correlations measured in calendar time.</w:t>
      </w:r>
      <w:r>
        <w:rPr>
          <w:bCs/>
          <w:sz w:val="24"/>
          <w:szCs w:val="24"/>
        </w:rPr>
        <w:t xml:space="preserve">  </w:t>
      </w:r>
    </w:p>
    <w:p w14:paraId="73DC45FE" w14:textId="23CB3346" w:rsidR="0073566F" w:rsidRPr="00281272" w:rsidRDefault="0073566F" w:rsidP="002E0155">
      <w:pPr>
        <w:spacing w:line="480" w:lineRule="auto"/>
        <w:rPr>
          <w:bCs/>
          <w:sz w:val="24"/>
          <w:szCs w:val="24"/>
        </w:rPr>
      </w:pPr>
      <w:r>
        <w:rPr>
          <w:bCs/>
          <w:sz w:val="24"/>
          <w:szCs w:val="24"/>
        </w:rPr>
        <w:tab/>
        <w:t xml:space="preserve">Now that we have shown that return samples are more normally distributed and their co-occurrences are more stable when measured in event time instead of calendar time, we next </w:t>
      </w:r>
      <w:r w:rsidR="007153AB">
        <w:rPr>
          <w:bCs/>
          <w:sz w:val="24"/>
          <w:szCs w:val="24"/>
        </w:rPr>
        <w:t xml:space="preserve">discuss </w:t>
      </w:r>
      <w:r w:rsidR="00B13CC9">
        <w:rPr>
          <w:bCs/>
          <w:sz w:val="24"/>
          <w:szCs w:val="24"/>
        </w:rPr>
        <w:t xml:space="preserve">three </w:t>
      </w:r>
      <w:r w:rsidR="00C40E2D">
        <w:rPr>
          <w:bCs/>
          <w:sz w:val="24"/>
          <w:szCs w:val="24"/>
        </w:rPr>
        <w:t>practical</w:t>
      </w:r>
      <w:r w:rsidR="007153AB">
        <w:rPr>
          <w:bCs/>
          <w:sz w:val="24"/>
          <w:szCs w:val="24"/>
        </w:rPr>
        <w:t xml:space="preserve"> implications of our analysis: stress testing</w:t>
      </w:r>
      <w:r w:rsidR="00B13CC9">
        <w:rPr>
          <w:bCs/>
          <w:sz w:val="24"/>
          <w:szCs w:val="24"/>
        </w:rPr>
        <w:t xml:space="preserve">, </w:t>
      </w:r>
      <w:r w:rsidR="007153AB">
        <w:rPr>
          <w:bCs/>
          <w:sz w:val="24"/>
          <w:szCs w:val="24"/>
        </w:rPr>
        <w:t>performance evaluation</w:t>
      </w:r>
      <w:r w:rsidR="00B13CC9">
        <w:rPr>
          <w:bCs/>
          <w:sz w:val="24"/>
          <w:szCs w:val="24"/>
        </w:rPr>
        <w:t>, and portfolio construction</w:t>
      </w:r>
      <w:r w:rsidR="007153AB">
        <w:rPr>
          <w:bCs/>
          <w:sz w:val="24"/>
          <w:szCs w:val="24"/>
        </w:rPr>
        <w:t>.</w:t>
      </w:r>
    </w:p>
    <w:p w14:paraId="4C585A48" w14:textId="77777777" w:rsidR="007153AB" w:rsidRDefault="007153AB" w:rsidP="002E0155">
      <w:pPr>
        <w:spacing w:line="480" w:lineRule="auto"/>
        <w:rPr>
          <w:b/>
          <w:sz w:val="24"/>
          <w:szCs w:val="24"/>
        </w:rPr>
      </w:pPr>
    </w:p>
    <w:p w14:paraId="17016F1E" w14:textId="46F865C6" w:rsidR="00F94EBA" w:rsidRPr="00281272" w:rsidRDefault="00C40E2D" w:rsidP="002E0155">
      <w:pPr>
        <w:spacing w:line="480" w:lineRule="auto"/>
        <w:rPr>
          <w:b/>
          <w:sz w:val="24"/>
          <w:szCs w:val="24"/>
        </w:rPr>
      </w:pPr>
      <w:r>
        <w:rPr>
          <w:b/>
          <w:sz w:val="24"/>
          <w:szCs w:val="24"/>
        </w:rPr>
        <w:t xml:space="preserve">Practical </w:t>
      </w:r>
      <w:r w:rsidR="007153AB">
        <w:rPr>
          <w:b/>
          <w:sz w:val="24"/>
          <w:szCs w:val="24"/>
        </w:rPr>
        <w:t xml:space="preserve">Implications </w:t>
      </w:r>
    </w:p>
    <w:p w14:paraId="036AA78C" w14:textId="77777777" w:rsidR="007153AB" w:rsidRPr="007153AB" w:rsidRDefault="007153AB" w:rsidP="00386C1D">
      <w:pPr>
        <w:spacing w:after="200" w:line="480" w:lineRule="auto"/>
        <w:rPr>
          <w:rFonts w:eastAsiaTheme="minorEastAsia"/>
          <w:sz w:val="24"/>
          <w:szCs w:val="24"/>
          <w:u w:val="single"/>
          <w:lang w:eastAsia="zh-CN"/>
        </w:rPr>
      </w:pPr>
      <w:r w:rsidRPr="007153AB">
        <w:rPr>
          <w:rFonts w:eastAsiaTheme="minorEastAsia"/>
          <w:sz w:val="24"/>
          <w:szCs w:val="24"/>
          <w:u w:val="single"/>
          <w:lang w:eastAsia="zh-CN"/>
        </w:rPr>
        <w:t>Stress Testing</w:t>
      </w:r>
    </w:p>
    <w:p w14:paraId="409CE4EF" w14:textId="1226E6A8" w:rsidR="002E0155" w:rsidRPr="00281272" w:rsidRDefault="007153AB" w:rsidP="00386C1D">
      <w:pPr>
        <w:spacing w:after="200" w:line="480" w:lineRule="auto"/>
        <w:rPr>
          <w:rFonts w:eastAsiaTheme="minorEastAsia"/>
          <w:sz w:val="24"/>
          <w:szCs w:val="24"/>
          <w:lang w:eastAsia="zh-CN"/>
        </w:rPr>
      </w:pPr>
      <w:r>
        <w:rPr>
          <w:rFonts w:eastAsiaTheme="minorEastAsia"/>
          <w:sz w:val="24"/>
          <w:szCs w:val="24"/>
          <w:lang w:eastAsia="zh-CN"/>
        </w:rPr>
        <w:t xml:space="preserve">To evaluate the implications of our analysis on stress testing, we reconsider the unusualness of several stock market crashes from the perspective of both calendar time and event time.  </w:t>
      </w:r>
      <w:r w:rsidR="00795C3E" w:rsidRPr="00281272">
        <w:rPr>
          <w:rFonts w:eastAsiaTheme="minorEastAsia"/>
          <w:sz w:val="24"/>
          <w:szCs w:val="24"/>
          <w:lang w:eastAsia="zh-CN"/>
        </w:rPr>
        <w:t xml:space="preserve">As before, we use the daily returns of 11 U.S. sectors to determine event intensity. </w:t>
      </w:r>
      <w:r w:rsidR="00E02D7C">
        <w:rPr>
          <w:rFonts w:eastAsiaTheme="minorEastAsia"/>
          <w:sz w:val="24"/>
          <w:szCs w:val="24"/>
          <w:lang w:eastAsia="zh-CN"/>
        </w:rPr>
        <w:t xml:space="preserve"> </w:t>
      </w:r>
      <w:r w:rsidR="00795C3E" w:rsidRPr="00281272">
        <w:rPr>
          <w:rFonts w:eastAsiaTheme="minorEastAsia"/>
          <w:sz w:val="24"/>
          <w:szCs w:val="24"/>
          <w:lang w:eastAsia="zh-CN"/>
        </w:rPr>
        <w:t xml:space="preserve">However, for this application, we extend our data to begin in July 1926. </w:t>
      </w:r>
      <w:r w:rsidR="00E02D7C">
        <w:rPr>
          <w:rFonts w:eastAsiaTheme="minorEastAsia"/>
          <w:sz w:val="24"/>
          <w:szCs w:val="24"/>
          <w:lang w:eastAsia="zh-CN"/>
        </w:rPr>
        <w:t xml:space="preserve"> </w:t>
      </w:r>
      <w:r w:rsidR="00795C3E" w:rsidRPr="00281272">
        <w:rPr>
          <w:rFonts w:eastAsiaTheme="minorEastAsia"/>
          <w:sz w:val="24"/>
          <w:szCs w:val="24"/>
          <w:lang w:eastAsia="zh-CN"/>
        </w:rPr>
        <w:t xml:space="preserve">This provides a </w:t>
      </w:r>
      <w:r w:rsidR="00F442DC" w:rsidRPr="00281272">
        <w:rPr>
          <w:rFonts w:eastAsiaTheme="minorEastAsia"/>
          <w:sz w:val="24"/>
          <w:szCs w:val="24"/>
          <w:lang w:eastAsia="zh-CN"/>
        </w:rPr>
        <w:t xml:space="preserve">large </w:t>
      </w:r>
      <w:r w:rsidR="00795C3E" w:rsidRPr="00281272">
        <w:rPr>
          <w:rFonts w:eastAsiaTheme="minorEastAsia"/>
          <w:sz w:val="24"/>
          <w:szCs w:val="24"/>
          <w:lang w:eastAsia="zh-CN"/>
        </w:rPr>
        <w:t xml:space="preserve">sample for estimating </w:t>
      </w:r>
      <w:r w:rsidR="00593B51" w:rsidRPr="00281272">
        <w:rPr>
          <w:rFonts w:eastAsiaTheme="minorEastAsia"/>
          <w:sz w:val="24"/>
          <w:szCs w:val="24"/>
          <w:lang w:eastAsia="zh-CN"/>
        </w:rPr>
        <w:t xml:space="preserve">historical </w:t>
      </w:r>
      <w:r w:rsidR="00795C3E" w:rsidRPr="00281272">
        <w:rPr>
          <w:rFonts w:eastAsiaTheme="minorEastAsia"/>
          <w:sz w:val="24"/>
          <w:szCs w:val="24"/>
          <w:lang w:eastAsia="zh-CN"/>
        </w:rPr>
        <w:t xml:space="preserve">calendar and event returns to </w:t>
      </w:r>
      <w:r w:rsidR="005B115C" w:rsidRPr="00281272">
        <w:rPr>
          <w:rFonts w:eastAsiaTheme="minorEastAsia"/>
          <w:sz w:val="24"/>
          <w:szCs w:val="24"/>
          <w:lang w:eastAsia="zh-CN"/>
        </w:rPr>
        <w:t>contextualize</w:t>
      </w:r>
      <w:r w:rsidR="00B67924" w:rsidRPr="00281272">
        <w:rPr>
          <w:rFonts w:eastAsiaTheme="minorEastAsia"/>
          <w:sz w:val="24"/>
          <w:szCs w:val="24"/>
          <w:lang w:eastAsia="zh-CN"/>
        </w:rPr>
        <w:t xml:space="preserve"> </w:t>
      </w:r>
      <w:r w:rsidR="00795C3E" w:rsidRPr="00281272">
        <w:rPr>
          <w:rFonts w:eastAsiaTheme="minorEastAsia"/>
          <w:sz w:val="24"/>
          <w:szCs w:val="24"/>
          <w:lang w:eastAsia="zh-CN"/>
        </w:rPr>
        <w:t xml:space="preserve">stock market crashes. </w:t>
      </w:r>
      <w:r w:rsidR="00E02D7C">
        <w:rPr>
          <w:rFonts w:eastAsiaTheme="minorEastAsia"/>
          <w:sz w:val="24"/>
          <w:szCs w:val="24"/>
          <w:lang w:eastAsia="zh-CN"/>
        </w:rPr>
        <w:t xml:space="preserve"> </w:t>
      </w:r>
      <w:r w:rsidR="00795C3E" w:rsidRPr="00281272">
        <w:rPr>
          <w:rFonts w:eastAsiaTheme="minorEastAsia"/>
          <w:sz w:val="24"/>
          <w:szCs w:val="24"/>
          <w:lang w:eastAsia="zh-CN"/>
        </w:rPr>
        <w:t xml:space="preserve">Moreover, </w:t>
      </w:r>
      <w:r w:rsidR="005B115C" w:rsidRPr="00281272">
        <w:rPr>
          <w:rFonts w:eastAsiaTheme="minorEastAsia"/>
          <w:sz w:val="24"/>
          <w:szCs w:val="24"/>
          <w:lang w:eastAsia="zh-CN"/>
        </w:rPr>
        <w:t>at each point</w:t>
      </w:r>
      <w:r w:rsidR="00881EB3" w:rsidRPr="00281272">
        <w:rPr>
          <w:rFonts w:eastAsiaTheme="minorEastAsia"/>
          <w:sz w:val="24"/>
          <w:szCs w:val="24"/>
          <w:lang w:eastAsia="zh-CN"/>
        </w:rPr>
        <w:t xml:space="preserve"> </w:t>
      </w:r>
      <w:r w:rsidR="005B115C" w:rsidRPr="00281272">
        <w:rPr>
          <w:rFonts w:eastAsiaTheme="minorEastAsia"/>
          <w:sz w:val="24"/>
          <w:szCs w:val="24"/>
          <w:lang w:eastAsia="zh-CN"/>
        </w:rPr>
        <w:t xml:space="preserve">in time, </w:t>
      </w:r>
      <w:r w:rsidR="00795C3E" w:rsidRPr="00281272">
        <w:rPr>
          <w:rFonts w:eastAsiaTheme="minorEastAsia"/>
          <w:sz w:val="24"/>
          <w:szCs w:val="24"/>
          <w:lang w:eastAsia="zh-CN"/>
        </w:rPr>
        <w:t xml:space="preserve">we measure </w:t>
      </w:r>
      <w:r w:rsidR="005B115C" w:rsidRPr="00281272">
        <w:rPr>
          <w:rFonts w:eastAsiaTheme="minorEastAsia"/>
          <w:sz w:val="24"/>
          <w:szCs w:val="24"/>
          <w:lang w:eastAsia="zh-CN"/>
        </w:rPr>
        <w:t xml:space="preserve">daily event intensity based </w:t>
      </w:r>
      <w:r w:rsidR="00881EB3" w:rsidRPr="00281272">
        <w:rPr>
          <w:rFonts w:eastAsiaTheme="minorEastAsia"/>
          <w:sz w:val="24"/>
          <w:szCs w:val="24"/>
          <w:lang w:eastAsia="zh-CN"/>
        </w:rPr>
        <w:t xml:space="preserve">on means and covariances estimated over </w:t>
      </w:r>
      <w:r w:rsidR="005B115C" w:rsidRPr="00281272">
        <w:rPr>
          <w:rFonts w:eastAsiaTheme="minorEastAsia"/>
          <w:sz w:val="24"/>
          <w:szCs w:val="24"/>
          <w:lang w:eastAsia="zh-CN"/>
        </w:rPr>
        <w:t>a 10-year (2,520-day) lookback window</w:t>
      </w:r>
      <w:r w:rsidR="00881EB3" w:rsidRPr="00281272">
        <w:rPr>
          <w:rFonts w:eastAsiaTheme="minorEastAsia"/>
          <w:sz w:val="24"/>
          <w:szCs w:val="24"/>
          <w:lang w:eastAsia="zh-CN"/>
        </w:rPr>
        <w:t xml:space="preserve">. </w:t>
      </w:r>
      <w:r w:rsidR="00E02D7C">
        <w:rPr>
          <w:rFonts w:eastAsiaTheme="minorEastAsia"/>
          <w:sz w:val="24"/>
          <w:szCs w:val="24"/>
          <w:lang w:eastAsia="zh-CN"/>
        </w:rPr>
        <w:t xml:space="preserve"> </w:t>
      </w:r>
      <w:r w:rsidR="00881EB3" w:rsidRPr="00281272">
        <w:rPr>
          <w:rFonts w:eastAsiaTheme="minorEastAsia"/>
          <w:sz w:val="24"/>
          <w:szCs w:val="24"/>
          <w:lang w:eastAsia="zh-CN"/>
        </w:rPr>
        <w:t>We use a trailing window</w:t>
      </w:r>
      <w:r w:rsidR="00593B51" w:rsidRPr="00281272">
        <w:rPr>
          <w:rFonts w:eastAsiaTheme="minorEastAsia"/>
          <w:sz w:val="24"/>
          <w:szCs w:val="24"/>
          <w:lang w:eastAsia="zh-CN"/>
        </w:rPr>
        <w:t xml:space="preserve">, rather than the full sample, </w:t>
      </w:r>
      <w:r w:rsidR="00881EB3" w:rsidRPr="00281272">
        <w:rPr>
          <w:rFonts w:eastAsiaTheme="minorEastAsia"/>
          <w:sz w:val="24"/>
          <w:szCs w:val="24"/>
          <w:lang w:eastAsia="zh-CN"/>
        </w:rPr>
        <w:t>to</w:t>
      </w:r>
      <w:r w:rsidR="00B67924" w:rsidRPr="00281272">
        <w:rPr>
          <w:rFonts w:eastAsiaTheme="minorEastAsia"/>
          <w:sz w:val="24"/>
          <w:szCs w:val="24"/>
          <w:lang w:eastAsia="zh-CN"/>
        </w:rPr>
        <w:t xml:space="preserve"> avoid event concentration</w:t>
      </w:r>
      <w:r w:rsidR="00593B51" w:rsidRPr="00281272">
        <w:rPr>
          <w:rFonts w:eastAsiaTheme="minorEastAsia"/>
          <w:sz w:val="24"/>
          <w:szCs w:val="24"/>
          <w:lang w:eastAsia="zh-CN"/>
        </w:rPr>
        <w:t>,</w:t>
      </w:r>
      <w:r w:rsidR="00B67924" w:rsidRPr="00281272">
        <w:rPr>
          <w:rFonts w:eastAsiaTheme="minorEastAsia"/>
          <w:sz w:val="24"/>
          <w:szCs w:val="24"/>
          <w:lang w:eastAsia="zh-CN"/>
        </w:rPr>
        <w:t xml:space="preserve"> which </w:t>
      </w:r>
      <w:r w:rsidR="00593B51" w:rsidRPr="00281272">
        <w:rPr>
          <w:rFonts w:eastAsiaTheme="minorEastAsia"/>
          <w:sz w:val="24"/>
          <w:szCs w:val="24"/>
          <w:lang w:eastAsia="zh-CN"/>
        </w:rPr>
        <w:t>might occur if we based event intensity on full sample means and covariances measured over such a long sample.</w:t>
      </w:r>
    </w:p>
    <w:p w14:paraId="5AE57DED" w14:textId="4A871A45" w:rsidR="006222C2" w:rsidRPr="00281272" w:rsidRDefault="006222C2" w:rsidP="006222C2">
      <w:pPr>
        <w:spacing w:after="0" w:line="480" w:lineRule="auto"/>
        <w:ind w:firstLine="720"/>
        <w:contextualSpacing/>
        <w:rPr>
          <w:rFonts w:eastAsiaTheme="minorEastAsia"/>
          <w:sz w:val="24"/>
          <w:szCs w:val="24"/>
          <w:lang w:eastAsia="zh-CN"/>
        </w:rPr>
      </w:pPr>
      <w:r w:rsidRPr="00281272">
        <w:rPr>
          <w:rFonts w:eastAsiaTheme="minorEastAsia"/>
          <w:sz w:val="24"/>
          <w:szCs w:val="24"/>
          <w:lang w:eastAsia="zh-CN"/>
        </w:rPr>
        <w:t xml:space="preserve">Exhibit </w:t>
      </w:r>
      <w:r w:rsidR="0073566F">
        <w:rPr>
          <w:rFonts w:eastAsiaTheme="minorEastAsia"/>
          <w:sz w:val="24"/>
          <w:szCs w:val="24"/>
          <w:lang w:eastAsia="zh-CN"/>
        </w:rPr>
        <w:t>7</w:t>
      </w:r>
      <w:r w:rsidRPr="00281272">
        <w:rPr>
          <w:rFonts w:eastAsiaTheme="minorEastAsia"/>
          <w:sz w:val="24"/>
          <w:szCs w:val="24"/>
          <w:lang w:eastAsia="zh-CN"/>
        </w:rPr>
        <w:t xml:space="preserve"> measures the unusualness of five stock market crashes based on both calendar time and event time: the 1987 crash, the LTCM crash, the Dotcom Bubble, the Global Financial </w:t>
      </w:r>
      <w:r w:rsidRPr="00281272">
        <w:rPr>
          <w:rFonts w:eastAsiaTheme="minorEastAsia"/>
          <w:sz w:val="24"/>
          <w:szCs w:val="24"/>
          <w:lang w:eastAsia="zh-CN"/>
        </w:rPr>
        <w:lastRenderedPageBreak/>
        <w:t xml:space="preserve">Crisis, and the COVID crash. </w:t>
      </w:r>
      <w:r w:rsidR="00E02D7C">
        <w:rPr>
          <w:rFonts w:eastAsiaTheme="minorEastAsia"/>
          <w:sz w:val="24"/>
          <w:szCs w:val="24"/>
          <w:lang w:eastAsia="zh-CN"/>
        </w:rPr>
        <w:t xml:space="preserve"> </w:t>
      </w:r>
      <w:r w:rsidR="00B47A71" w:rsidRPr="00281272">
        <w:rPr>
          <w:rFonts w:eastAsiaTheme="minorEastAsia"/>
          <w:sz w:val="24"/>
          <w:szCs w:val="24"/>
          <w:lang w:eastAsia="zh-CN"/>
        </w:rPr>
        <w:t xml:space="preserve">For each </w:t>
      </w:r>
      <w:r w:rsidR="00B8246A" w:rsidRPr="00281272">
        <w:rPr>
          <w:rFonts w:eastAsiaTheme="minorEastAsia"/>
          <w:sz w:val="24"/>
          <w:szCs w:val="24"/>
          <w:lang w:eastAsia="zh-CN"/>
        </w:rPr>
        <w:t>drawdown</w:t>
      </w:r>
      <w:r w:rsidR="00B47A71" w:rsidRPr="00281272">
        <w:rPr>
          <w:rFonts w:eastAsiaTheme="minorEastAsia"/>
          <w:sz w:val="24"/>
          <w:szCs w:val="24"/>
          <w:lang w:eastAsia="zh-CN"/>
        </w:rPr>
        <w:t xml:space="preserve">, we quantify its </w:t>
      </w:r>
      <w:r w:rsidRPr="00281272">
        <w:rPr>
          <w:rFonts w:eastAsiaTheme="minorEastAsia"/>
          <w:sz w:val="24"/>
          <w:szCs w:val="24"/>
          <w:lang w:eastAsia="zh-CN"/>
        </w:rPr>
        <w:t>unusualness as z-score</w:t>
      </w:r>
      <w:r w:rsidR="00F442DC" w:rsidRPr="00281272">
        <w:rPr>
          <w:rFonts w:eastAsiaTheme="minorEastAsia"/>
          <w:sz w:val="24"/>
          <w:szCs w:val="24"/>
          <w:lang w:eastAsia="zh-CN"/>
        </w:rPr>
        <w:t>s</w:t>
      </w:r>
      <w:r w:rsidR="00B47A71" w:rsidRPr="00281272">
        <w:rPr>
          <w:rFonts w:eastAsiaTheme="minorEastAsia"/>
          <w:sz w:val="24"/>
          <w:szCs w:val="24"/>
          <w:lang w:eastAsia="zh-CN"/>
        </w:rPr>
        <w:t xml:space="preserve"> </w:t>
      </w:r>
      <w:r w:rsidRPr="00281272">
        <w:rPr>
          <w:rFonts w:eastAsiaTheme="minorEastAsia"/>
          <w:sz w:val="24"/>
          <w:szCs w:val="24"/>
          <w:lang w:eastAsia="zh-CN"/>
        </w:rPr>
        <w:t xml:space="preserve">based on </w:t>
      </w:r>
      <w:r w:rsidR="00E02D7C">
        <w:rPr>
          <w:rFonts w:eastAsiaTheme="minorEastAsia"/>
          <w:sz w:val="24"/>
          <w:szCs w:val="24"/>
          <w:lang w:eastAsia="zh-CN"/>
        </w:rPr>
        <w:t xml:space="preserve">a distribution composed of </w:t>
      </w:r>
      <w:r w:rsidR="00E07F39" w:rsidRPr="00281272">
        <w:rPr>
          <w:rFonts w:eastAsiaTheme="minorEastAsia"/>
          <w:sz w:val="24"/>
          <w:szCs w:val="24"/>
          <w:lang w:eastAsia="zh-CN"/>
        </w:rPr>
        <w:t xml:space="preserve">(1) </w:t>
      </w:r>
      <w:r w:rsidR="00B47A71" w:rsidRPr="00281272">
        <w:rPr>
          <w:rFonts w:eastAsiaTheme="minorEastAsia"/>
          <w:sz w:val="24"/>
          <w:szCs w:val="24"/>
          <w:lang w:eastAsia="zh-CN"/>
        </w:rPr>
        <w:t xml:space="preserve">historical returns measured over the same calendar horizon </w:t>
      </w:r>
      <w:r w:rsidR="00E07F39" w:rsidRPr="00281272">
        <w:rPr>
          <w:rFonts w:eastAsiaTheme="minorEastAsia"/>
          <w:sz w:val="24"/>
          <w:szCs w:val="24"/>
          <w:lang w:eastAsia="zh-CN"/>
        </w:rPr>
        <w:t xml:space="preserve">and (2) historical returns </w:t>
      </w:r>
      <w:r w:rsidR="00B47A71" w:rsidRPr="00281272">
        <w:rPr>
          <w:rFonts w:eastAsiaTheme="minorEastAsia"/>
          <w:sz w:val="24"/>
          <w:szCs w:val="24"/>
          <w:lang w:eastAsia="zh-CN"/>
        </w:rPr>
        <w:t xml:space="preserve">measured over event periods with the same cumulative event intensity. </w:t>
      </w:r>
    </w:p>
    <w:p w14:paraId="67E61589" w14:textId="77777777" w:rsidR="007E6617" w:rsidRDefault="007E6617" w:rsidP="006222C2">
      <w:pPr>
        <w:spacing w:after="200" w:line="480" w:lineRule="auto"/>
        <w:jc w:val="center"/>
        <w:rPr>
          <w:rFonts w:eastAsiaTheme="minorEastAsia"/>
          <w:sz w:val="24"/>
          <w:szCs w:val="24"/>
          <w:lang w:eastAsia="zh-CN"/>
        </w:rPr>
      </w:pPr>
    </w:p>
    <w:p w14:paraId="39F7209E" w14:textId="7EBCA5DA" w:rsidR="006222C2" w:rsidRPr="00281272" w:rsidRDefault="006222C2" w:rsidP="006222C2">
      <w:pPr>
        <w:spacing w:after="200" w:line="480" w:lineRule="auto"/>
        <w:jc w:val="center"/>
        <w:rPr>
          <w:rFonts w:eastAsiaTheme="minorEastAsia"/>
          <w:sz w:val="24"/>
          <w:szCs w:val="24"/>
          <w:lang w:eastAsia="zh-CN"/>
        </w:rPr>
      </w:pPr>
      <w:r w:rsidRPr="00281272">
        <w:rPr>
          <w:rFonts w:eastAsiaTheme="minorEastAsia"/>
          <w:sz w:val="24"/>
          <w:szCs w:val="24"/>
          <w:lang w:eastAsia="zh-CN"/>
        </w:rPr>
        <w:t xml:space="preserve">Exhibit </w:t>
      </w:r>
      <w:r w:rsidR="00A27C04">
        <w:rPr>
          <w:rFonts w:eastAsiaTheme="minorEastAsia"/>
          <w:sz w:val="24"/>
          <w:szCs w:val="24"/>
          <w:lang w:eastAsia="zh-CN"/>
        </w:rPr>
        <w:t>7</w:t>
      </w:r>
      <w:r w:rsidRPr="00281272">
        <w:rPr>
          <w:rFonts w:eastAsiaTheme="minorEastAsia"/>
          <w:sz w:val="24"/>
          <w:szCs w:val="24"/>
          <w:lang w:eastAsia="zh-CN"/>
        </w:rPr>
        <w:t xml:space="preserve">: Market Crash Z-Scores Measured in Calendar Time and Event Time </w:t>
      </w:r>
    </w:p>
    <w:p w14:paraId="731D5B25" w14:textId="7B90AE6F" w:rsidR="003D0A69" w:rsidRPr="00281272" w:rsidRDefault="00575C5C" w:rsidP="006222C2">
      <w:pPr>
        <w:spacing w:line="480" w:lineRule="auto"/>
        <w:jc w:val="center"/>
        <w:rPr>
          <w:rFonts w:eastAsiaTheme="minorEastAsia"/>
          <w:color w:val="000000" w:themeColor="text1"/>
          <w:kern w:val="24"/>
          <w:sz w:val="24"/>
          <w:szCs w:val="24"/>
        </w:rPr>
      </w:pPr>
      <w:r w:rsidRPr="00281272">
        <w:rPr>
          <w:rFonts w:eastAsiaTheme="minorEastAsia"/>
          <w:noProof/>
          <w:color w:val="000000" w:themeColor="text1"/>
          <w:kern w:val="24"/>
          <w:sz w:val="24"/>
          <w:szCs w:val="24"/>
        </w:rPr>
        <w:drawing>
          <wp:inline distT="0" distB="0" distL="0" distR="0" wp14:anchorId="6DC0673E" wp14:editId="6CE15D27">
            <wp:extent cx="5934075" cy="22288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4075" cy="2228850"/>
                    </a:xfrm>
                    <a:prstGeom prst="rect">
                      <a:avLst/>
                    </a:prstGeom>
                    <a:noFill/>
                    <a:ln>
                      <a:noFill/>
                    </a:ln>
                  </pic:spPr>
                </pic:pic>
              </a:graphicData>
            </a:graphic>
          </wp:inline>
        </w:drawing>
      </w:r>
    </w:p>
    <w:p w14:paraId="3042B934" w14:textId="7F4696FB" w:rsidR="006222C2" w:rsidRPr="00281272" w:rsidRDefault="006222C2" w:rsidP="007153AB">
      <w:pPr>
        <w:spacing w:line="480" w:lineRule="auto"/>
        <w:rPr>
          <w:rFonts w:eastAsiaTheme="minorEastAsia"/>
          <w:color w:val="000000" w:themeColor="text1"/>
          <w:kern w:val="24"/>
          <w:sz w:val="24"/>
          <w:szCs w:val="24"/>
        </w:rPr>
      </w:pPr>
      <w:r w:rsidRPr="00281272">
        <w:rPr>
          <w:rFonts w:eastAsiaTheme="minorEastAsia"/>
          <w:color w:val="000000" w:themeColor="text1"/>
          <w:kern w:val="24"/>
          <w:sz w:val="24"/>
          <w:szCs w:val="24"/>
        </w:rPr>
        <w:tab/>
        <w:t xml:space="preserve">Exhibit </w:t>
      </w:r>
      <w:r w:rsidR="00A27C04">
        <w:rPr>
          <w:rFonts w:eastAsiaTheme="minorEastAsia"/>
          <w:color w:val="000000" w:themeColor="text1"/>
          <w:kern w:val="24"/>
          <w:sz w:val="24"/>
          <w:szCs w:val="24"/>
        </w:rPr>
        <w:t>7</w:t>
      </w:r>
      <w:r w:rsidRPr="00281272">
        <w:rPr>
          <w:rFonts w:eastAsiaTheme="minorEastAsia"/>
          <w:color w:val="000000" w:themeColor="text1"/>
          <w:kern w:val="24"/>
          <w:sz w:val="24"/>
          <w:szCs w:val="24"/>
        </w:rPr>
        <w:t xml:space="preserve"> clearly shows that </w:t>
      </w:r>
      <w:r w:rsidR="00E02D7C">
        <w:rPr>
          <w:rFonts w:eastAsiaTheme="minorEastAsia"/>
          <w:color w:val="000000" w:themeColor="text1"/>
          <w:kern w:val="24"/>
          <w:sz w:val="24"/>
          <w:szCs w:val="24"/>
        </w:rPr>
        <w:t xml:space="preserve">the </w:t>
      </w:r>
      <w:r w:rsidRPr="00281272">
        <w:rPr>
          <w:rFonts w:eastAsiaTheme="minorEastAsia"/>
          <w:color w:val="000000" w:themeColor="text1"/>
          <w:kern w:val="24"/>
          <w:sz w:val="24"/>
          <w:szCs w:val="24"/>
        </w:rPr>
        <w:t xml:space="preserve">calendar time </w:t>
      </w:r>
      <w:r w:rsidR="00E02D7C">
        <w:rPr>
          <w:rFonts w:eastAsiaTheme="minorEastAsia"/>
          <w:color w:val="000000" w:themeColor="text1"/>
          <w:kern w:val="24"/>
          <w:sz w:val="24"/>
          <w:szCs w:val="24"/>
        </w:rPr>
        <w:t xml:space="preserve">distribution </w:t>
      </w:r>
      <w:r w:rsidRPr="00281272">
        <w:rPr>
          <w:rFonts w:eastAsiaTheme="minorEastAsia"/>
          <w:color w:val="000000" w:themeColor="text1"/>
          <w:kern w:val="24"/>
          <w:sz w:val="24"/>
          <w:szCs w:val="24"/>
        </w:rPr>
        <w:t xml:space="preserve">drastically overstates the rarity of these crashes. </w:t>
      </w:r>
      <w:r w:rsidR="00E02D7C">
        <w:rPr>
          <w:rFonts w:eastAsiaTheme="minorEastAsia"/>
          <w:color w:val="000000" w:themeColor="text1"/>
          <w:kern w:val="24"/>
          <w:sz w:val="24"/>
          <w:szCs w:val="24"/>
        </w:rPr>
        <w:t xml:space="preserve"> </w:t>
      </w:r>
      <w:r w:rsidRPr="00281272">
        <w:rPr>
          <w:rFonts w:eastAsiaTheme="minorEastAsia"/>
          <w:color w:val="000000" w:themeColor="text1"/>
          <w:kern w:val="24"/>
          <w:sz w:val="24"/>
          <w:szCs w:val="24"/>
        </w:rPr>
        <w:t>For example</w:t>
      </w:r>
      <w:r w:rsidR="00A27C04">
        <w:rPr>
          <w:rFonts w:eastAsiaTheme="minorEastAsia"/>
          <w:color w:val="000000" w:themeColor="text1"/>
          <w:kern w:val="24"/>
          <w:sz w:val="24"/>
          <w:szCs w:val="24"/>
        </w:rPr>
        <w:t>,</w:t>
      </w:r>
      <w:r w:rsidRPr="00281272">
        <w:rPr>
          <w:rFonts w:eastAsiaTheme="minorEastAsia"/>
          <w:color w:val="000000" w:themeColor="text1"/>
          <w:kern w:val="24"/>
          <w:sz w:val="24"/>
          <w:szCs w:val="24"/>
        </w:rPr>
        <w:t xml:space="preserve"> the recent COVID crash based on calendar time is </w:t>
      </w:r>
      <w:r w:rsidR="00944122">
        <w:rPr>
          <w:rFonts w:eastAsiaTheme="minorEastAsia"/>
          <w:color w:val="000000" w:themeColor="text1"/>
          <w:kern w:val="24"/>
          <w:sz w:val="24"/>
          <w:szCs w:val="24"/>
        </w:rPr>
        <w:t xml:space="preserve">more than seven standard deviations away from the average return of similar length periods, which means it is </w:t>
      </w:r>
      <w:r w:rsidRPr="00281272">
        <w:rPr>
          <w:rFonts w:eastAsiaTheme="minorEastAsia"/>
          <w:color w:val="000000" w:themeColor="text1"/>
          <w:kern w:val="24"/>
          <w:sz w:val="24"/>
          <w:szCs w:val="24"/>
        </w:rPr>
        <w:t xml:space="preserve">deemed to have had only a 1 in </w:t>
      </w:r>
      <w:r w:rsidR="002F6BCE">
        <w:rPr>
          <w:rFonts w:eastAsiaTheme="minorEastAsia"/>
          <w:color w:val="000000" w:themeColor="text1"/>
          <w:kern w:val="24"/>
          <w:sz w:val="24"/>
          <w:szCs w:val="24"/>
        </w:rPr>
        <w:t>10</w:t>
      </w:r>
      <w:r w:rsidR="009C49E8" w:rsidRPr="00281272">
        <w:rPr>
          <w:rFonts w:eastAsiaTheme="minorEastAsia"/>
          <w:color w:val="000000" w:themeColor="text1"/>
          <w:kern w:val="24"/>
          <w:sz w:val="24"/>
          <w:szCs w:val="24"/>
        </w:rPr>
        <w:t xml:space="preserve"> trillion </w:t>
      </w:r>
      <w:r w:rsidR="00AC076D" w:rsidRPr="00281272">
        <w:rPr>
          <w:rFonts w:eastAsiaTheme="minorEastAsia"/>
          <w:color w:val="000000" w:themeColor="text1"/>
          <w:kern w:val="24"/>
          <w:sz w:val="24"/>
          <w:szCs w:val="24"/>
        </w:rPr>
        <w:t xml:space="preserve">chance </w:t>
      </w:r>
      <w:r w:rsidR="009C49E8" w:rsidRPr="00281272">
        <w:rPr>
          <w:rFonts w:eastAsiaTheme="minorEastAsia"/>
          <w:color w:val="000000" w:themeColor="text1"/>
          <w:kern w:val="24"/>
          <w:sz w:val="24"/>
          <w:szCs w:val="24"/>
        </w:rPr>
        <w:t>of occurrence</w:t>
      </w:r>
      <w:r w:rsidR="00944122">
        <w:rPr>
          <w:rFonts w:eastAsiaTheme="minorEastAsia"/>
          <w:color w:val="000000" w:themeColor="text1"/>
          <w:kern w:val="24"/>
          <w:sz w:val="24"/>
          <w:szCs w:val="24"/>
        </w:rPr>
        <w:t>.</w:t>
      </w:r>
      <w:r w:rsidR="009C49E8" w:rsidRPr="00281272">
        <w:rPr>
          <w:rFonts w:eastAsiaTheme="minorEastAsia"/>
          <w:color w:val="000000" w:themeColor="text1"/>
          <w:kern w:val="24"/>
          <w:sz w:val="24"/>
          <w:szCs w:val="24"/>
        </w:rPr>
        <w:t xml:space="preserve"> </w:t>
      </w:r>
      <w:r w:rsidR="00944122">
        <w:rPr>
          <w:rFonts w:eastAsiaTheme="minorEastAsia"/>
          <w:color w:val="000000" w:themeColor="text1"/>
          <w:kern w:val="24"/>
          <w:sz w:val="24"/>
          <w:szCs w:val="24"/>
        </w:rPr>
        <w:t xml:space="preserve"> By contrast, the same COVID crash </w:t>
      </w:r>
      <w:r w:rsidR="009C49E8" w:rsidRPr="00281272">
        <w:rPr>
          <w:rFonts w:eastAsiaTheme="minorEastAsia"/>
          <w:color w:val="000000" w:themeColor="text1"/>
          <w:kern w:val="24"/>
          <w:sz w:val="24"/>
          <w:szCs w:val="24"/>
        </w:rPr>
        <w:t xml:space="preserve">event </w:t>
      </w:r>
      <w:r w:rsidR="00944122">
        <w:rPr>
          <w:rFonts w:eastAsiaTheme="minorEastAsia"/>
          <w:color w:val="000000" w:themeColor="text1"/>
          <w:kern w:val="24"/>
          <w:sz w:val="24"/>
          <w:szCs w:val="24"/>
        </w:rPr>
        <w:t xml:space="preserve">appears </w:t>
      </w:r>
      <w:r w:rsidR="009C49E8" w:rsidRPr="00281272">
        <w:rPr>
          <w:rFonts w:eastAsiaTheme="minorEastAsia"/>
          <w:color w:val="000000" w:themeColor="text1"/>
          <w:kern w:val="24"/>
          <w:sz w:val="24"/>
          <w:szCs w:val="24"/>
        </w:rPr>
        <w:t xml:space="preserve">to have been much more </w:t>
      </w:r>
      <w:r w:rsidR="00A27C04" w:rsidRPr="00281272">
        <w:rPr>
          <w:rFonts w:eastAsiaTheme="minorEastAsia"/>
          <w:color w:val="000000" w:themeColor="text1"/>
          <w:kern w:val="24"/>
          <w:sz w:val="24"/>
          <w:szCs w:val="24"/>
        </w:rPr>
        <w:t>plausible</w:t>
      </w:r>
      <w:r w:rsidR="00944122">
        <w:rPr>
          <w:rFonts w:eastAsiaTheme="minorEastAsia"/>
          <w:color w:val="000000" w:themeColor="text1"/>
          <w:kern w:val="24"/>
          <w:sz w:val="24"/>
          <w:szCs w:val="24"/>
        </w:rPr>
        <w:t xml:space="preserve"> when compared to prior periods of similar event intensity</w:t>
      </w:r>
      <w:r w:rsidR="00A27C04">
        <w:rPr>
          <w:rFonts w:eastAsiaTheme="minorEastAsia"/>
          <w:color w:val="000000" w:themeColor="text1"/>
          <w:kern w:val="24"/>
          <w:sz w:val="24"/>
          <w:szCs w:val="24"/>
        </w:rPr>
        <w:t>:</w:t>
      </w:r>
      <w:r w:rsidR="009C49E8" w:rsidRPr="00281272">
        <w:rPr>
          <w:rFonts w:eastAsiaTheme="minorEastAsia"/>
          <w:color w:val="000000" w:themeColor="text1"/>
          <w:kern w:val="24"/>
          <w:sz w:val="24"/>
          <w:szCs w:val="24"/>
        </w:rPr>
        <w:t xml:space="preserve"> </w:t>
      </w:r>
      <w:r w:rsidR="00944122">
        <w:rPr>
          <w:rFonts w:eastAsiaTheme="minorEastAsia"/>
          <w:color w:val="000000" w:themeColor="text1"/>
          <w:kern w:val="24"/>
          <w:sz w:val="24"/>
          <w:szCs w:val="24"/>
        </w:rPr>
        <w:t xml:space="preserve">it is 2.3 standard deviations away from average, which implies that it is </w:t>
      </w:r>
      <w:r w:rsidR="009C49E8" w:rsidRPr="00281272">
        <w:rPr>
          <w:rFonts w:eastAsiaTheme="minorEastAsia"/>
          <w:color w:val="000000" w:themeColor="text1"/>
          <w:kern w:val="24"/>
          <w:sz w:val="24"/>
          <w:szCs w:val="24"/>
        </w:rPr>
        <w:t xml:space="preserve">a little more likely than </w:t>
      </w:r>
      <w:r w:rsidR="00944122">
        <w:rPr>
          <w:rFonts w:eastAsiaTheme="minorEastAsia"/>
          <w:color w:val="000000" w:themeColor="text1"/>
          <w:kern w:val="24"/>
          <w:sz w:val="24"/>
          <w:szCs w:val="24"/>
        </w:rPr>
        <w:t xml:space="preserve">a </w:t>
      </w:r>
      <w:r w:rsidR="009C49E8" w:rsidRPr="00281272">
        <w:rPr>
          <w:rFonts w:eastAsiaTheme="minorEastAsia"/>
          <w:color w:val="000000" w:themeColor="text1"/>
          <w:kern w:val="24"/>
          <w:sz w:val="24"/>
          <w:szCs w:val="24"/>
        </w:rPr>
        <w:t xml:space="preserve">1 in </w:t>
      </w:r>
      <w:r w:rsidR="00A27C04">
        <w:rPr>
          <w:rFonts w:eastAsiaTheme="minorEastAsia"/>
          <w:color w:val="000000" w:themeColor="text1"/>
          <w:kern w:val="24"/>
          <w:sz w:val="24"/>
          <w:szCs w:val="24"/>
        </w:rPr>
        <w:t>100</w:t>
      </w:r>
      <w:r w:rsidR="00944122">
        <w:rPr>
          <w:rFonts w:eastAsiaTheme="minorEastAsia"/>
          <w:color w:val="000000" w:themeColor="text1"/>
          <w:kern w:val="24"/>
          <w:sz w:val="24"/>
          <w:szCs w:val="24"/>
        </w:rPr>
        <w:t xml:space="preserve"> chance</w:t>
      </w:r>
      <w:r w:rsidR="00A27C04">
        <w:rPr>
          <w:rFonts w:eastAsiaTheme="minorEastAsia"/>
          <w:color w:val="000000" w:themeColor="text1"/>
          <w:kern w:val="24"/>
          <w:sz w:val="24"/>
          <w:szCs w:val="24"/>
        </w:rPr>
        <w:t>.</w:t>
      </w:r>
    </w:p>
    <w:p w14:paraId="023D95EB" w14:textId="0473B140" w:rsidR="00593B51" w:rsidRPr="00281272" w:rsidRDefault="00220B22" w:rsidP="0045163A">
      <w:pPr>
        <w:spacing w:line="480" w:lineRule="auto"/>
        <w:rPr>
          <w:rFonts w:eastAsiaTheme="minorEastAsia"/>
          <w:b/>
          <w:color w:val="000000" w:themeColor="text1"/>
          <w:kern w:val="24"/>
          <w:sz w:val="24"/>
          <w:szCs w:val="24"/>
        </w:rPr>
      </w:pPr>
      <w:r w:rsidRPr="00281272">
        <w:rPr>
          <w:rFonts w:eastAsiaTheme="minorEastAsia"/>
          <w:color w:val="000000" w:themeColor="text1"/>
          <w:kern w:val="24"/>
          <w:sz w:val="24"/>
          <w:szCs w:val="24"/>
        </w:rPr>
        <w:lastRenderedPageBreak/>
        <w:tab/>
      </w:r>
      <w:r w:rsidR="00A10C92" w:rsidRPr="00281272">
        <w:rPr>
          <w:rFonts w:eastAsiaTheme="minorEastAsia"/>
          <w:color w:val="000000" w:themeColor="text1"/>
          <w:kern w:val="24"/>
          <w:sz w:val="24"/>
          <w:szCs w:val="24"/>
        </w:rPr>
        <w:t xml:space="preserve">These stark differences in perceived unusualness </w:t>
      </w:r>
      <w:r w:rsidR="00B117FF" w:rsidRPr="00281272">
        <w:rPr>
          <w:rFonts w:eastAsiaTheme="minorEastAsia"/>
          <w:color w:val="000000" w:themeColor="text1"/>
          <w:kern w:val="24"/>
          <w:sz w:val="24"/>
          <w:szCs w:val="24"/>
        </w:rPr>
        <w:t>based</w:t>
      </w:r>
      <w:r w:rsidR="00A10C92" w:rsidRPr="00281272">
        <w:rPr>
          <w:rFonts w:eastAsiaTheme="minorEastAsia"/>
          <w:color w:val="000000" w:themeColor="text1"/>
          <w:kern w:val="24"/>
          <w:sz w:val="24"/>
          <w:szCs w:val="24"/>
        </w:rPr>
        <w:t xml:space="preserve"> </w:t>
      </w:r>
      <w:r w:rsidR="00DB3402" w:rsidRPr="00281272">
        <w:rPr>
          <w:rFonts w:eastAsiaTheme="minorEastAsia"/>
          <w:color w:val="000000" w:themeColor="text1"/>
          <w:kern w:val="24"/>
          <w:sz w:val="24"/>
          <w:szCs w:val="24"/>
        </w:rPr>
        <w:t xml:space="preserve">on </w:t>
      </w:r>
      <w:r w:rsidR="00A10C92" w:rsidRPr="00281272">
        <w:rPr>
          <w:rFonts w:eastAsiaTheme="minorEastAsia"/>
          <w:color w:val="000000" w:themeColor="text1"/>
          <w:kern w:val="24"/>
          <w:sz w:val="24"/>
          <w:szCs w:val="24"/>
        </w:rPr>
        <w:t xml:space="preserve">calendar </w:t>
      </w:r>
      <w:r w:rsidR="007E6617">
        <w:rPr>
          <w:rFonts w:eastAsiaTheme="minorEastAsia"/>
          <w:color w:val="000000" w:themeColor="text1"/>
          <w:kern w:val="24"/>
          <w:sz w:val="24"/>
          <w:szCs w:val="24"/>
        </w:rPr>
        <w:t>time</w:t>
      </w:r>
      <w:r w:rsidR="00A10C92" w:rsidRPr="00281272">
        <w:rPr>
          <w:rFonts w:eastAsiaTheme="minorEastAsia"/>
          <w:color w:val="000000" w:themeColor="text1"/>
          <w:kern w:val="24"/>
          <w:sz w:val="24"/>
          <w:szCs w:val="24"/>
        </w:rPr>
        <w:t xml:space="preserve"> and </w:t>
      </w:r>
      <w:r w:rsidR="00B117FF" w:rsidRPr="00281272">
        <w:rPr>
          <w:rFonts w:eastAsiaTheme="minorEastAsia"/>
          <w:color w:val="000000" w:themeColor="text1"/>
          <w:kern w:val="24"/>
          <w:sz w:val="24"/>
          <w:szCs w:val="24"/>
        </w:rPr>
        <w:t>event</w:t>
      </w:r>
      <w:r w:rsidR="00DB3402" w:rsidRPr="00281272">
        <w:rPr>
          <w:rFonts w:eastAsiaTheme="minorEastAsia"/>
          <w:color w:val="000000" w:themeColor="text1"/>
          <w:kern w:val="24"/>
          <w:sz w:val="24"/>
          <w:szCs w:val="24"/>
        </w:rPr>
        <w:t xml:space="preserve"> </w:t>
      </w:r>
      <w:r w:rsidR="007E6617">
        <w:rPr>
          <w:rFonts w:eastAsiaTheme="minorEastAsia"/>
          <w:color w:val="000000" w:themeColor="text1"/>
          <w:kern w:val="24"/>
          <w:sz w:val="24"/>
          <w:szCs w:val="24"/>
        </w:rPr>
        <w:t>time</w:t>
      </w:r>
      <w:r w:rsidR="00DB3402" w:rsidRPr="00281272">
        <w:rPr>
          <w:rFonts w:eastAsiaTheme="minorEastAsia"/>
          <w:color w:val="000000" w:themeColor="text1"/>
          <w:kern w:val="24"/>
          <w:sz w:val="24"/>
          <w:szCs w:val="24"/>
        </w:rPr>
        <w:t xml:space="preserve"> </w:t>
      </w:r>
      <w:r w:rsidR="00A27C04">
        <w:rPr>
          <w:rFonts w:eastAsiaTheme="minorEastAsia"/>
          <w:color w:val="000000" w:themeColor="text1"/>
          <w:kern w:val="24"/>
          <w:sz w:val="24"/>
          <w:szCs w:val="24"/>
        </w:rPr>
        <w:t>ha</w:t>
      </w:r>
      <w:r w:rsidR="007E6617">
        <w:rPr>
          <w:rFonts w:eastAsiaTheme="minorEastAsia"/>
          <w:color w:val="000000" w:themeColor="text1"/>
          <w:kern w:val="24"/>
          <w:sz w:val="24"/>
          <w:szCs w:val="24"/>
        </w:rPr>
        <w:t>ve</w:t>
      </w:r>
      <w:r w:rsidR="00A27C04">
        <w:rPr>
          <w:rFonts w:eastAsiaTheme="minorEastAsia"/>
          <w:color w:val="000000" w:themeColor="text1"/>
          <w:kern w:val="24"/>
          <w:sz w:val="24"/>
          <w:szCs w:val="24"/>
        </w:rPr>
        <w:t xml:space="preserve"> significant implications for stress testing a strategy or an institution’s resilience to negative shocks</w:t>
      </w:r>
      <w:r w:rsidR="00A10C92" w:rsidRPr="00281272">
        <w:rPr>
          <w:rFonts w:eastAsiaTheme="minorEastAsia"/>
          <w:color w:val="000000" w:themeColor="text1"/>
          <w:kern w:val="24"/>
          <w:sz w:val="24"/>
          <w:szCs w:val="24"/>
        </w:rPr>
        <w:t>.</w:t>
      </w:r>
      <w:r w:rsidR="00A27C04">
        <w:rPr>
          <w:rFonts w:eastAsiaTheme="minorEastAsia"/>
          <w:color w:val="000000" w:themeColor="text1"/>
          <w:kern w:val="24"/>
          <w:sz w:val="24"/>
          <w:szCs w:val="24"/>
        </w:rPr>
        <w:t xml:space="preserve">  Specifically, these results suggest that severe shocks are far more plausible than calendar time measures of unusualness would suggest, thereby suggesting that survival may require a more conservative approach to risk taking</w:t>
      </w:r>
      <w:r w:rsidR="007153AB">
        <w:rPr>
          <w:rFonts w:eastAsiaTheme="minorEastAsia"/>
          <w:color w:val="000000" w:themeColor="text1"/>
          <w:kern w:val="24"/>
          <w:sz w:val="24"/>
          <w:szCs w:val="24"/>
        </w:rPr>
        <w:t xml:space="preserve"> than commonly assumed</w:t>
      </w:r>
      <w:r w:rsidR="00A27C04">
        <w:rPr>
          <w:rFonts w:eastAsiaTheme="minorEastAsia"/>
          <w:color w:val="000000" w:themeColor="text1"/>
          <w:kern w:val="24"/>
          <w:sz w:val="24"/>
          <w:szCs w:val="24"/>
        </w:rPr>
        <w:t>.</w:t>
      </w:r>
      <w:r w:rsidR="00A10C92" w:rsidRPr="00281272">
        <w:rPr>
          <w:rFonts w:eastAsiaTheme="minorEastAsia"/>
          <w:color w:val="000000" w:themeColor="text1"/>
          <w:kern w:val="24"/>
          <w:sz w:val="24"/>
          <w:szCs w:val="24"/>
        </w:rPr>
        <w:t xml:space="preserve">  </w:t>
      </w:r>
    </w:p>
    <w:p w14:paraId="3762C278" w14:textId="1C7C9EC5" w:rsidR="00A27C04" w:rsidRPr="007E6617" w:rsidRDefault="007E6617" w:rsidP="0045163A">
      <w:pPr>
        <w:spacing w:line="480" w:lineRule="auto"/>
        <w:rPr>
          <w:rFonts w:eastAsiaTheme="minorEastAsia"/>
          <w:bCs/>
          <w:color w:val="000000" w:themeColor="text1"/>
          <w:kern w:val="24"/>
          <w:sz w:val="24"/>
          <w:szCs w:val="24"/>
          <w:u w:val="single"/>
        </w:rPr>
      </w:pPr>
      <w:r w:rsidRPr="007E6617">
        <w:rPr>
          <w:rFonts w:eastAsiaTheme="minorEastAsia"/>
          <w:bCs/>
          <w:color w:val="000000" w:themeColor="text1"/>
          <w:kern w:val="24"/>
          <w:sz w:val="24"/>
          <w:szCs w:val="24"/>
          <w:u w:val="single"/>
        </w:rPr>
        <w:t>Performance Evaluation</w:t>
      </w:r>
    </w:p>
    <w:p w14:paraId="7DBCA332" w14:textId="4F50A597" w:rsidR="00A27C04" w:rsidRDefault="007E6617" w:rsidP="0045163A">
      <w:pPr>
        <w:spacing w:line="480" w:lineRule="auto"/>
        <w:rPr>
          <w:rFonts w:eastAsiaTheme="minorEastAsia"/>
          <w:bCs/>
          <w:color w:val="000000" w:themeColor="text1"/>
          <w:kern w:val="24"/>
          <w:sz w:val="24"/>
          <w:szCs w:val="24"/>
        </w:rPr>
      </w:pPr>
      <w:r w:rsidRPr="007E6617">
        <w:rPr>
          <w:rFonts w:eastAsiaTheme="minorEastAsia"/>
          <w:bCs/>
          <w:color w:val="000000" w:themeColor="text1"/>
          <w:kern w:val="24"/>
          <w:sz w:val="24"/>
          <w:szCs w:val="24"/>
        </w:rPr>
        <w:t xml:space="preserve">Investors typically evaluate the investment performance of a </w:t>
      </w:r>
      <w:r w:rsidR="00521170">
        <w:rPr>
          <w:rFonts w:eastAsiaTheme="minorEastAsia"/>
          <w:bCs/>
          <w:color w:val="000000" w:themeColor="text1"/>
          <w:kern w:val="24"/>
          <w:sz w:val="24"/>
          <w:szCs w:val="24"/>
        </w:rPr>
        <w:t xml:space="preserve">manager or a </w:t>
      </w:r>
      <w:r w:rsidRPr="007E6617">
        <w:rPr>
          <w:rFonts w:eastAsiaTheme="minorEastAsia"/>
          <w:bCs/>
          <w:color w:val="000000" w:themeColor="text1"/>
          <w:kern w:val="24"/>
          <w:sz w:val="24"/>
          <w:szCs w:val="24"/>
        </w:rPr>
        <w:t xml:space="preserve">strategy </w:t>
      </w:r>
      <w:r>
        <w:rPr>
          <w:rFonts w:eastAsiaTheme="minorEastAsia"/>
          <w:bCs/>
          <w:color w:val="000000" w:themeColor="text1"/>
          <w:kern w:val="24"/>
          <w:sz w:val="24"/>
          <w:szCs w:val="24"/>
        </w:rPr>
        <w:t>based on a fixed amount of elapsed time, such as a quarter or a year.  Yet, as we have shown</w:t>
      </w:r>
      <w:r w:rsidR="00521170">
        <w:rPr>
          <w:rFonts w:eastAsiaTheme="minorEastAsia"/>
          <w:bCs/>
          <w:color w:val="000000" w:themeColor="text1"/>
          <w:kern w:val="24"/>
          <w:sz w:val="24"/>
          <w:szCs w:val="24"/>
        </w:rPr>
        <w:t>,</w:t>
      </w:r>
      <w:r>
        <w:rPr>
          <w:rFonts w:eastAsiaTheme="minorEastAsia"/>
          <w:bCs/>
          <w:color w:val="000000" w:themeColor="text1"/>
          <w:kern w:val="24"/>
          <w:sz w:val="24"/>
          <w:szCs w:val="24"/>
        </w:rPr>
        <w:t xml:space="preserve"> common units of elapsed time will likely have much different degrees of event intensity.  </w:t>
      </w:r>
      <w:r w:rsidR="00521170">
        <w:rPr>
          <w:rFonts w:eastAsiaTheme="minorEastAsia"/>
          <w:bCs/>
          <w:color w:val="000000" w:themeColor="text1"/>
          <w:kern w:val="24"/>
          <w:sz w:val="24"/>
          <w:szCs w:val="24"/>
        </w:rPr>
        <w:t xml:space="preserve">A quarter with one unit of event intensity reveals much less about the quality of a manager or a strategy than a quarter with 10 units of event intensity.  It therefore stands to reason that decisions to fund or defund managers or strategies should be based </w:t>
      </w:r>
      <w:r w:rsidR="00C40E2D">
        <w:rPr>
          <w:rFonts w:eastAsiaTheme="minorEastAsia"/>
          <w:bCs/>
          <w:color w:val="000000" w:themeColor="text1"/>
          <w:kern w:val="24"/>
          <w:sz w:val="24"/>
          <w:szCs w:val="24"/>
        </w:rPr>
        <w:t xml:space="preserve">on </w:t>
      </w:r>
      <w:r w:rsidR="00521170">
        <w:rPr>
          <w:rFonts w:eastAsiaTheme="minorEastAsia"/>
          <w:bCs/>
          <w:color w:val="000000" w:themeColor="text1"/>
          <w:kern w:val="24"/>
          <w:sz w:val="24"/>
          <w:szCs w:val="24"/>
        </w:rPr>
        <w:t>returns measured in event time rather than calendar time.</w:t>
      </w:r>
    </w:p>
    <w:p w14:paraId="5BF4B45C" w14:textId="4BF881B5" w:rsidR="00944122" w:rsidRPr="007E6617" w:rsidRDefault="00944122" w:rsidP="00944122">
      <w:pPr>
        <w:spacing w:line="480" w:lineRule="auto"/>
        <w:rPr>
          <w:rFonts w:eastAsiaTheme="minorEastAsia"/>
          <w:bCs/>
          <w:color w:val="000000" w:themeColor="text1"/>
          <w:kern w:val="24"/>
          <w:sz w:val="24"/>
          <w:szCs w:val="24"/>
          <w:u w:val="single"/>
        </w:rPr>
      </w:pPr>
      <w:r>
        <w:rPr>
          <w:rFonts w:eastAsiaTheme="minorEastAsia"/>
          <w:bCs/>
          <w:color w:val="000000" w:themeColor="text1"/>
          <w:kern w:val="24"/>
          <w:sz w:val="24"/>
          <w:szCs w:val="24"/>
          <w:u w:val="single"/>
        </w:rPr>
        <w:t>Portfolio Construction</w:t>
      </w:r>
    </w:p>
    <w:p w14:paraId="28502D91" w14:textId="09A3A96B" w:rsidR="00521170" w:rsidRDefault="00944122" w:rsidP="0045163A">
      <w:pPr>
        <w:spacing w:line="480" w:lineRule="auto"/>
        <w:rPr>
          <w:rFonts w:eastAsiaTheme="minorEastAsia"/>
          <w:bCs/>
          <w:color w:val="000000" w:themeColor="text1"/>
          <w:kern w:val="24"/>
          <w:sz w:val="24"/>
          <w:szCs w:val="24"/>
        </w:rPr>
      </w:pPr>
      <w:r>
        <w:rPr>
          <w:rFonts w:eastAsiaTheme="minorEastAsia"/>
          <w:bCs/>
          <w:color w:val="000000" w:themeColor="text1"/>
          <w:kern w:val="24"/>
          <w:sz w:val="24"/>
          <w:szCs w:val="24"/>
        </w:rPr>
        <w:t xml:space="preserve">To the extent that estimates of volatility and correlation are more stable when measured in units of event time, it may be advantageous to use these estimates as the inputs to mean-variance analysis or other portfolio construction techniques.  The resulting portfolios will be designed to withstand </w:t>
      </w:r>
      <w:r w:rsidR="00B13CC9">
        <w:rPr>
          <w:rFonts w:eastAsiaTheme="minorEastAsia"/>
          <w:bCs/>
          <w:color w:val="000000" w:themeColor="text1"/>
          <w:kern w:val="24"/>
          <w:sz w:val="24"/>
          <w:szCs w:val="24"/>
        </w:rPr>
        <w:t xml:space="preserve">event risk regardless of the length of elapsed time it takes for these events to materialize. </w:t>
      </w:r>
    </w:p>
    <w:p w14:paraId="7A57C47A" w14:textId="77777777" w:rsidR="00944122" w:rsidRDefault="00944122" w:rsidP="0045163A">
      <w:pPr>
        <w:spacing w:line="480" w:lineRule="auto"/>
        <w:rPr>
          <w:rFonts w:eastAsiaTheme="minorEastAsia"/>
          <w:bCs/>
          <w:color w:val="000000" w:themeColor="text1"/>
          <w:kern w:val="24"/>
          <w:sz w:val="24"/>
          <w:szCs w:val="24"/>
        </w:rPr>
      </w:pPr>
    </w:p>
    <w:p w14:paraId="0305BBF1" w14:textId="42653100" w:rsidR="00521170" w:rsidRDefault="00521170" w:rsidP="0045163A">
      <w:pPr>
        <w:spacing w:line="480" w:lineRule="auto"/>
        <w:rPr>
          <w:rFonts w:eastAsiaTheme="minorEastAsia"/>
          <w:b/>
          <w:color w:val="000000" w:themeColor="text1"/>
          <w:kern w:val="24"/>
          <w:sz w:val="24"/>
          <w:szCs w:val="24"/>
        </w:rPr>
      </w:pPr>
      <w:r w:rsidRPr="00521170">
        <w:rPr>
          <w:rFonts w:eastAsiaTheme="minorEastAsia"/>
          <w:b/>
          <w:color w:val="000000" w:themeColor="text1"/>
          <w:kern w:val="24"/>
          <w:sz w:val="24"/>
          <w:szCs w:val="24"/>
        </w:rPr>
        <w:lastRenderedPageBreak/>
        <w:t>Conclusion</w:t>
      </w:r>
    </w:p>
    <w:p w14:paraId="5D5DC1E7" w14:textId="521B0AAD" w:rsidR="00D8610D" w:rsidRDefault="00C40E2D" w:rsidP="0045163A">
      <w:pPr>
        <w:spacing w:line="480" w:lineRule="auto"/>
        <w:rPr>
          <w:rFonts w:eastAsiaTheme="minorEastAsia"/>
          <w:bCs/>
          <w:color w:val="000000" w:themeColor="text1"/>
          <w:kern w:val="24"/>
          <w:sz w:val="24"/>
          <w:szCs w:val="24"/>
        </w:rPr>
      </w:pPr>
      <w:r>
        <w:rPr>
          <w:rFonts w:eastAsiaTheme="minorEastAsia"/>
          <w:bCs/>
          <w:color w:val="000000" w:themeColor="text1"/>
          <w:kern w:val="24"/>
          <w:sz w:val="24"/>
          <w:szCs w:val="24"/>
        </w:rPr>
        <w:t>We argue</w:t>
      </w:r>
      <w:r w:rsidR="00D8610D">
        <w:rPr>
          <w:rFonts w:eastAsiaTheme="minorEastAsia"/>
          <w:bCs/>
          <w:color w:val="000000" w:themeColor="text1"/>
          <w:kern w:val="24"/>
          <w:sz w:val="24"/>
          <w:szCs w:val="24"/>
        </w:rPr>
        <w:t>d</w:t>
      </w:r>
      <w:r>
        <w:rPr>
          <w:rFonts w:eastAsiaTheme="minorEastAsia"/>
          <w:bCs/>
          <w:color w:val="000000" w:themeColor="text1"/>
          <w:kern w:val="24"/>
          <w:sz w:val="24"/>
          <w:szCs w:val="24"/>
        </w:rPr>
        <w:t xml:space="preserve"> that it is more </w:t>
      </w:r>
      <w:r w:rsidR="00D8610D">
        <w:rPr>
          <w:rFonts w:eastAsiaTheme="minorEastAsia"/>
          <w:bCs/>
          <w:color w:val="000000" w:themeColor="text1"/>
          <w:kern w:val="24"/>
          <w:sz w:val="24"/>
          <w:szCs w:val="24"/>
        </w:rPr>
        <w:t>informative</w:t>
      </w:r>
      <w:r>
        <w:rPr>
          <w:rFonts w:eastAsiaTheme="minorEastAsia"/>
          <w:bCs/>
          <w:color w:val="000000" w:themeColor="text1"/>
          <w:kern w:val="24"/>
          <w:sz w:val="24"/>
          <w:szCs w:val="24"/>
        </w:rPr>
        <w:t xml:space="preserve"> to measure investment returns in units of common event intensity instead of units of common elapsed time.  </w:t>
      </w:r>
      <w:r w:rsidR="00D8610D">
        <w:rPr>
          <w:rFonts w:eastAsiaTheme="minorEastAsia"/>
          <w:bCs/>
          <w:color w:val="000000" w:themeColor="text1"/>
          <w:kern w:val="24"/>
          <w:sz w:val="24"/>
          <w:szCs w:val="24"/>
        </w:rPr>
        <w:t xml:space="preserve">We grounded our argument in information theory which implies that the amount of information </w:t>
      </w:r>
      <w:r w:rsidR="00B13CC9">
        <w:rPr>
          <w:rFonts w:eastAsiaTheme="minorEastAsia"/>
          <w:bCs/>
          <w:color w:val="000000" w:themeColor="text1"/>
          <w:kern w:val="24"/>
          <w:sz w:val="24"/>
          <w:szCs w:val="24"/>
        </w:rPr>
        <w:t xml:space="preserve">revealed </w:t>
      </w:r>
      <w:r w:rsidR="00D8610D">
        <w:rPr>
          <w:rFonts w:eastAsiaTheme="minorEastAsia"/>
          <w:bCs/>
          <w:color w:val="000000" w:themeColor="text1"/>
          <w:kern w:val="24"/>
          <w:sz w:val="24"/>
          <w:szCs w:val="24"/>
        </w:rPr>
        <w:t xml:space="preserve">by a sequence of returns increases with the degree of event intensity associated with those returns. </w:t>
      </w:r>
      <w:r w:rsidR="00B13CC9">
        <w:rPr>
          <w:rFonts w:eastAsiaTheme="minorEastAsia"/>
          <w:bCs/>
          <w:color w:val="000000" w:themeColor="text1"/>
          <w:kern w:val="24"/>
          <w:sz w:val="24"/>
          <w:szCs w:val="24"/>
        </w:rPr>
        <w:t xml:space="preserve"> </w:t>
      </w:r>
      <w:r w:rsidR="00D8610D">
        <w:rPr>
          <w:rFonts w:eastAsiaTheme="minorEastAsia"/>
          <w:bCs/>
          <w:color w:val="000000" w:themeColor="text1"/>
          <w:kern w:val="24"/>
          <w:sz w:val="24"/>
          <w:szCs w:val="24"/>
        </w:rPr>
        <w:t xml:space="preserve">We then showed how we can measure event intensity with a statistic called the Mahalanobis distance, which gives a multivariate indication of the unusualness of a set of variables. </w:t>
      </w:r>
    </w:p>
    <w:p w14:paraId="3F159F32" w14:textId="75393F77" w:rsidR="00C40E2D" w:rsidRDefault="00D8610D" w:rsidP="0045163A">
      <w:pPr>
        <w:spacing w:line="480" w:lineRule="auto"/>
        <w:rPr>
          <w:rFonts w:eastAsiaTheme="minorEastAsia"/>
          <w:bCs/>
          <w:color w:val="000000" w:themeColor="text1"/>
          <w:kern w:val="24"/>
          <w:sz w:val="24"/>
          <w:szCs w:val="24"/>
        </w:rPr>
      </w:pPr>
      <w:r>
        <w:rPr>
          <w:rFonts w:eastAsiaTheme="minorEastAsia"/>
          <w:bCs/>
          <w:color w:val="000000" w:themeColor="text1"/>
          <w:kern w:val="24"/>
          <w:sz w:val="24"/>
          <w:szCs w:val="24"/>
        </w:rPr>
        <w:tab/>
        <w:t xml:space="preserve">We presented a comparative analysis of </w:t>
      </w:r>
      <w:r w:rsidR="00C81713">
        <w:rPr>
          <w:rFonts w:eastAsiaTheme="minorEastAsia"/>
          <w:bCs/>
          <w:color w:val="000000" w:themeColor="text1"/>
          <w:kern w:val="24"/>
          <w:sz w:val="24"/>
          <w:szCs w:val="24"/>
        </w:rPr>
        <w:t xml:space="preserve">the statistical properties of </w:t>
      </w:r>
      <w:r>
        <w:rPr>
          <w:rFonts w:eastAsiaTheme="minorEastAsia"/>
          <w:bCs/>
          <w:color w:val="000000" w:themeColor="text1"/>
          <w:kern w:val="24"/>
          <w:sz w:val="24"/>
          <w:szCs w:val="24"/>
        </w:rPr>
        <w:t>asset class returns</w:t>
      </w:r>
      <w:r w:rsidR="00494380">
        <w:rPr>
          <w:rFonts w:eastAsiaTheme="minorEastAsia"/>
          <w:bCs/>
          <w:color w:val="000000" w:themeColor="text1"/>
          <w:kern w:val="24"/>
          <w:sz w:val="24"/>
          <w:szCs w:val="24"/>
        </w:rPr>
        <w:t xml:space="preserve"> based on calendar time and event time.  We showed that when returns are measured in event time as opposed to calendar time, they are better described by a normal distribution.  We also showed that the co-occurrence of returns is more stable in </w:t>
      </w:r>
      <w:r w:rsidR="00957D6B">
        <w:rPr>
          <w:rFonts w:eastAsiaTheme="minorEastAsia"/>
          <w:bCs/>
          <w:color w:val="000000" w:themeColor="text1"/>
          <w:kern w:val="24"/>
          <w:sz w:val="24"/>
          <w:szCs w:val="24"/>
        </w:rPr>
        <w:t>event</w:t>
      </w:r>
      <w:r w:rsidR="00494380">
        <w:rPr>
          <w:rFonts w:eastAsiaTheme="minorEastAsia"/>
          <w:bCs/>
          <w:color w:val="000000" w:themeColor="text1"/>
          <w:kern w:val="24"/>
          <w:sz w:val="24"/>
          <w:szCs w:val="24"/>
        </w:rPr>
        <w:t xml:space="preserve"> time than </w:t>
      </w:r>
      <w:r w:rsidR="00957D6B">
        <w:rPr>
          <w:rFonts w:eastAsiaTheme="minorEastAsia"/>
          <w:bCs/>
          <w:color w:val="000000" w:themeColor="text1"/>
          <w:kern w:val="24"/>
          <w:sz w:val="24"/>
          <w:szCs w:val="24"/>
        </w:rPr>
        <w:t>calendar</w:t>
      </w:r>
      <w:r w:rsidR="00494380">
        <w:rPr>
          <w:rFonts w:eastAsiaTheme="minorEastAsia"/>
          <w:bCs/>
          <w:color w:val="000000" w:themeColor="text1"/>
          <w:kern w:val="24"/>
          <w:sz w:val="24"/>
          <w:szCs w:val="24"/>
        </w:rPr>
        <w:t xml:space="preserve"> time, meaning that event time correlations are more reliable than calendar time correlations.</w:t>
      </w:r>
      <w:r w:rsidR="00C81713">
        <w:rPr>
          <w:rFonts w:eastAsiaTheme="minorEastAsia"/>
          <w:bCs/>
          <w:color w:val="000000" w:themeColor="text1"/>
          <w:kern w:val="24"/>
          <w:sz w:val="24"/>
          <w:szCs w:val="24"/>
        </w:rPr>
        <w:t xml:space="preserve">  This latter result </w:t>
      </w:r>
      <w:r w:rsidR="00B13CC9">
        <w:rPr>
          <w:rFonts w:eastAsiaTheme="minorEastAsia"/>
          <w:bCs/>
          <w:color w:val="000000" w:themeColor="text1"/>
          <w:kern w:val="24"/>
          <w:sz w:val="24"/>
          <w:szCs w:val="24"/>
        </w:rPr>
        <w:t>is particularly relevant to</w:t>
      </w:r>
      <w:r w:rsidR="00C81713">
        <w:rPr>
          <w:rFonts w:eastAsiaTheme="minorEastAsia"/>
          <w:bCs/>
          <w:color w:val="000000" w:themeColor="text1"/>
          <w:kern w:val="24"/>
          <w:sz w:val="24"/>
          <w:szCs w:val="24"/>
        </w:rPr>
        <w:t xml:space="preserve"> portfolio construction.</w:t>
      </w:r>
    </w:p>
    <w:p w14:paraId="0BCEF110" w14:textId="4DB9D6BB" w:rsidR="00EB2F3D" w:rsidRDefault="00494380" w:rsidP="009E5761">
      <w:pPr>
        <w:spacing w:line="480" w:lineRule="auto"/>
        <w:rPr>
          <w:rFonts w:eastAsiaTheme="minorEastAsia"/>
          <w:b/>
          <w:bCs/>
          <w:color w:val="000000" w:themeColor="text1"/>
          <w:kern w:val="24"/>
          <w:sz w:val="24"/>
          <w:szCs w:val="24"/>
          <w:highlight w:val="green"/>
        </w:rPr>
      </w:pPr>
      <w:r>
        <w:rPr>
          <w:rFonts w:eastAsiaTheme="minorEastAsia"/>
          <w:bCs/>
          <w:color w:val="000000" w:themeColor="text1"/>
          <w:kern w:val="24"/>
          <w:sz w:val="24"/>
          <w:szCs w:val="24"/>
        </w:rPr>
        <w:tab/>
        <w:t xml:space="preserve">Finally, we discussed </w:t>
      </w:r>
      <w:r w:rsidR="00B13CC9">
        <w:rPr>
          <w:rFonts w:eastAsiaTheme="minorEastAsia"/>
          <w:bCs/>
          <w:color w:val="000000" w:themeColor="text1"/>
          <w:kern w:val="24"/>
          <w:sz w:val="24"/>
          <w:szCs w:val="24"/>
        </w:rPr>
        <w:t xml:space="preserve">three </w:t>
      </w:r>
      <w:r>
        <w:rPr>
          <w:rFonts w:eastAsiaTheme="minorEastAsia"/>
          <w:bCs/>
          <w:color w:val="000000" w:themeColor="text1"/>
          <w:kern w:val="24"/>
          <w:sz w:val="24"/>
          <w:szCs w:val="24"/>
        </w:rPr>
        <w:t>practical implications of our analysis.  We re-estimated the unusualness of several stock market crashes, revealing that their occurrences were much more plausible from the perspective of event time than calendar time.  This result suggests that negative shocks are substantially more likely than one might assume from a calendar time perspective; hence, survival may require a more conservative approach to risk taking</w:t>
      </w:r>
      <w:r w:rsidR="00C81713">
        <w:rPr>
          <w:rFonts w:eastAsiaTheme="minorEastAsia"/>
          <w:bCs/>
          <w:color w:val="000000" w:themeColor="text1"/>
          <w:kern w:val="24"/>
          <w:sz w:val="24"/>
          <w:szCs w:val="24"/>
        </w:rPr>
        <w:t xml:space="preserve"> than assumed by common approach</w:t>
      </w:r>
      <w:r w:rsidR="00957D6B">
        <w:rPr>
          <w:rFonts w:eastAsiaTheme="minorEastAsia"/>
          <w:bCs/>
          <w:color w:val="000000" w:themeColor="text1"/>
          <w:kern w:val="24"/>
          <w:sz w:val="24"/>
          <w:szCs w:val="24"/>
        </w:rPr>
        <w:t>es</w:t>
      </w:r>
      <w:r w:rsidR="00C81713">
        <w:rPr>
          <w:rFonts w:eastAsiaTheme="minorEastAsia"/>
          <w:bCs/>
          <w:color w:val="000000" w:themeColor="text1"/>
          <w:kern w:val="24"/>
          <w:sz w:val="24"/>
          <w:szCs w:val="24"/>
        </w:rPr>
        <w:t xml:space="preserve"> to stress testing.  We also argued that, to receive the same level of information across evaluation units, investors should evaluate investment managers and strategies based on a common degree of event intensity rather than a common amount of </w:t>
      </w:r>
      <w:r w:rsidR="00C81713">
        <w:rPr>
          <w:rFonts w:eastAsiaTheme="minorEastAsia"/>
          <w:bCs/>
          <w:color w:val="000000" w:themeColor="text1"/>
          <w:kern w:val="24"/>
          <w:sz w:val="24"/>
          <w:szCs w:val="24"/>
        </w:rPr>
        <w:lastRenderedPageBreak/>
        <w:t xml:space="preserve">elapsed time.  </w:t>
      </w:r>
      <w:r w:rsidR="00B13CC9">
        <w:rPr>
          <w:rFonts w:eastAsiaTheme="minorEastAsia"/>
          <w:bCs/>
          <w:color w:val="000000" w:themeColor="text1"/>
          <w:kern w:val="24"/>
          <w:sz w:val="24"/>
          <w:szCs w:val="24"/>
        </w:rPr>
        <w:t xml:space="preserve">And third, we argued that constructing portfolios from inputs measured in units of event time may render those portfolios more resilient to adverse scenarios that occur over different spans of time.  </w:t>
      </w:r>
    </w:p>
    <w:p w14:paraId="7BBF7B35" w14:textId="7BE69F41" w:rsidR="00B13CC9" w:rsidRDefault="00B13CC9">
      <w:pPr>
        <w:rPr>
          <w:rFonts w:eastAsiaTheme="minorEastAsia"/>
          <w:b/>
          <w:bCs/>
          <w:color w:val="000000" w:themeColor="text1"/>
          <w:kern w:val="24"/>
          <w:sz w:val="24"/>
          <w:szCs w:val="24"/>
          <w:highlight w:val="green"/>
        </w:rPr>
      </w:pPr>
    </w:p>
    <w:p w14:paraId="64FD0C67" w14:textId="77777777" w:rsidR="00B13CC9" w:rsidRDefault="00B13CC9">
      <w:pPr>
        <w:rPr>
          <w:rFonts w:eastAsiaTheme="minorEastAsia"/>
          <w:b/>
          <w:bCs/>
          <w:color w:val="000000" w:themeColor="text1"/>
          <w:kern w:val="24"/>
          <w:sz w:val="24"/>
          <w:szCs w:val="24"/>
          <w:highlight w:val="green"/>
        </w:rPr>
      </w:pPr>
    </w:p>
    <w:p w14:paraId="19181B2E" w14:textId="361CD973" w:rsidR="00DF2B98" w:rsidRPr="00013587" w:rsidRDefault="00DF2B98" w:rsidP="0045163A">
      <w:pPr>
        <w:spacing w:line="480" w:lineRule="auto"/>
        <w:rPr>
          <w:rFonts w:eastAsiaTheme="minorEastAsia"/>
          <w:b/>
          <w:bCs/>
          <w:color w:val="000000" w:themeColor="text1"/>
          <w:kern w:val="24"/>
          <w:sz w:val="24"/>
          <w:szCs w:val="24"/>
        </w:rPr>
      </w:pPr>
      <w:r w:rsidRPr="00013587">
        <w:rPr>
          <w:rFonts w:eastAsiaTheme="minorEastAsia"/>
          <w:b/>
          <w:bCs/>
          <w:color w:val="000000" w:themeColor="text1"/>
          <w:kern w:val="24"/>
          <w:sz w:val="24"/>
          <w:szCs w:val="24"/>
        </w:rPr>
        <w:t>Notes</w:t>
      </w:r>
    </w:p>
    <w:p w14:paraId="34C34FD6" w14:textId="730E5978" w:rsidR="00DF2B98" w:rsidRPr="00C40E2D" w:rsidRDefault="00EB2F3D" w:rsidP="00EB2F3D">
      <w:pPr>
        <w:spacing w:line="240" w:lineRule="auto"/>
        <w:rPr>
          <w:rFonts w:eastAsiaTheme="minorEastAsia"/>
          <w:color w:val="000000" w:themeColor="text1"/>
          <w:kern w:val="24"/>
          <w:sz w:val="24"/>
          <w:szCs w:val="24"/>
          <w:highlight w:val="green"/>
        </w:rPr>
      </w:pPr>
      <w:r w:rsidRPr="00013587">
        <w:rPr>
          <w:sz w:val="24"/>
        </w:rPr>
        <w:t>This material is for informational purposes only. The views expressed in this material are the views of the authors, are provided “as-is” at the time of first publication, are not intended for distribution to any</w:t>
      </w:r>
      <w:r w:rsidRPr="00221A6B">
        <w:rPr>
          <w:sz w:val="24"/>
        </w:rPr>
        <w:t xml:space="preserve"> person or entity in any jurisdiction where such distribution or use would be contrary to applicable law and are not an offer or solicitation to buy or sell securities or any product.  The views expressed do not necessarily represent the views of Windham Capital Management</w:t>
      </w:r>
      <w:r>
        <w:rPr>
          <w:sz w:val="24"/>
        </w:rPr>
        <w:t xml:space="preserve">, </w:t>
      </w:r>
      <w:r w:rsidRPr="00221A6B">
        <w:rPr>
          <w:sz w:val="24"/>
        </w:rPr>
        <w:t xml:space="preserve">State Street Global Markets®, </w:t>
      </w:r>
      <w:r>
        <w:rPr>
          <w:sz w:val="24"/>
        </w:rPr>
        <w:t xml:space="preserve">or </w:t>
      </w:r>
      <w:r w:rsidRPr="00221A6B">
        <w:rPr>
          <w:sz w:val="24"/>
        </w:rPr>
        <w:t>State Street Corporation® and its affiliates</w:t>
      </w:r>
      <w:r>
        <w:rPr>
          <w:sz w:val="24"/>
        </w:rPr>
        <w:t>.</w:t>
      </w:r>
    </w:p>
    <w:p w14:paraId="7C36F91F" w14:textId="5BEDCB06" w:rsidR="00DF2B98" w:rsidRDefault="00DF2B98" w:rsidP="0045163A">
      <w:pPr>
        <w:spacing w:line="480" w:lineRule="auto"/>
        <w:rPr>
          <w:rFonts w:eastAsiaTheme="minorEastAsia"/>
          <w:color w:val="000000" w:themeColor="text1"/>
          <w:kern w:val="24"/>
          <w:sz w:val="24"/>
          <w:szCs w:val="24"/>
        </w:rPr>
      </w:pPr>
    </w:p>
    <w:p w14:paraId="7514AC29" w14:textId="183D9FF9" w:rsidR="00DF2B98" w:rsidRPr="00013587" w:rsidRDefault="00DF2B98" w:rsidP="00DF2B98">
      <w:pPr>
        <w:spacing w:line="480" w:lineRule="auto"/>
        <w:rPr>
          <w:rFonts w:eastAsiaTheme="minorEastAsia"/>
          <w:b/>
          <w:bCs/>
          <w:color w:val="000000" w:themeColor="text1"/>
          <w:kern w:val="24"/>
          <w:sz w:val="24"/>
          <w:szCs w:val="24"/>
        </w:rPr>
      </w:pPr>
      <w:r w:rsidRPr="00013587">
        <w:rPr>
          <w:rFonts w:eastAsiaTheme="minorEastAsia"/>
          <w:b/>
          <w:bCs/>
          <w:color w:val="000000" w:themeColor="text1"/>
          <w:kern w:val="24"/>
          <w:sz w:val="24"/>
          <w:szCs w:val="24"/>
        </w:rPr>
        <w:t>References</w:t>
      </w:r>
    </w:p>
    <w:p w14:paraId="3F5A7D08" w14:textId="182FADE5" w:rsidR="00AC017B" w:rsidRPr="00013587" w:rsidRDefault="00AC017B" w:rsidP="00AC017B">
      <w:pPr>
        <w:spacing w:after="240" w:line="240" w:lineRule="auto"/>
        <w:rPr>
          <w:sz w:val="24"/>
        </w:rPr>
      </w:pPr>
      <w:r w:rsidRPr="00013587">
        <w:rPr>
          <w:sz w:val="24"/>
        </w:rPr>
        <w:t xml:space="preserve">Chow, G., E. Jacquier, K. Lowrey and M. Kritzman. 1999. “Optimal Portfolios in Good Times and Bad.” </w:t>
      </w:r>
      <w:r w:rsidRPr="00013587">
        <w:rPr>
          <w:i/>
          <w:iCs/>
          <w:sz w:val="24"/>
        </w:rPr>
        <w:t>Financial Analysts Journal</w:t>
      </w:r>
      <w:r w:rsidRPr="00013587">
        <w:rPr>
          <w:sz w:val="24"/>
        </w:rPr>
        <w:t>, vol. 55, no. 3 (May/June):</w:t>
      </w:r>
      <w:r w:rsidR="00473978" w:rsidRPr="00013587">
        <w:rPr>
          <w:sz w:val="24"/>
        </w:rPr>
        <w:t xml:space="preserve"> </w:t>
      </w:r>
      <w:r w:rsidRPr="00013587">
        <w:rPr>
          <w:sz w:val="24"/>
        </w:rPr>
        <w:t>65–73.</w:t>
      </w:r>
    </w:p>
    <w:p w14:paraId="12440AC8" w14:textId="679C3DB4" w:rsidR="00654688" w:rsidRPr="00013587" w:rsidRDefault="00654688" w:rsidP="00654688">
      <w:pPr>
        <w:spacing w:after="240" w:line="240" w:lineRule="auto"/>
        <w:rPr>
          <w:sz w:val="24"/>
        </w:rPr>
      </w:pPr>
      <w:r w:rsidRPr="00013587">
        <w:rPr>
          <w:sz w:val="24"/>
        </w:rPr>
        <w:t xml:space="preserve">Czasonis, M., M. Kritzman, B. Pamir and D. Turkington. 2020. “Enhanced Scenario Analysis.” </w:t>
      </w:r>
      <w:r w:rsidRPr="00013587">
        <w:rPr>
          <w:i/>
          <w:iCs/>
          <w:sz w:val="24"/>
        </w:rPr>
        <w:t>The Journal of Portfolio Management</w:t>
      </w:r>
      <w:r w:rsidRPr="00013587">
        <w:rPr>
          <w:sz w:val="24"/>
        </w:rPr>
        <w:t xml:space="preserve">, vol. 46, no. 4 (March). </w:t>
      </w:r>
    </w:p>
    <w:p w14:paraId="5344D467" w14:textId="580EB26C" w:rsidR="00EB2F3D" w:rsidRDefault="00EB2F3D" w:rsidP="00EB2F3D">
      <w:pPr>
        <w:spacing w:after="240" w:line="240" w:lineRule="auto"/>
        <w:rPr>
          <w:sz w:val="24"/>
        </w:rPr>
      </w:pPr>
      <w:r w:rsidRPr="00013587">
        <w:rPr>
          <w:sz w:val="24"/>
        </w:rPr>
        <w:t>Czasonis, M., M. Kritzman and D. Turkington</w:t>
      </w:r>
      <w:r w:rsidRPr="005605A9">
        <w:rPr>
          <w:sz w:val="24"/>
        </w:rPr>
        <w:t xml:space="preserve">. 2020. “Addition by Subtraction: A Better Way to Predict Factor Returns </w:t>
      </w:r>
      <w:r>
        <w:rPr>
          <w:sz w:val="24"/>
        </w:rPr>
        <w:t>(</w:t>
      </w:r>
      <w:r w:rsidRPr="005605A9">
        <w:rPr>
          <w:sz w:val="24"/>
        </w:rPr>
        <w:t>And Everything Else</w:t>
      </w:r>
      <w:r>
        <w:rPr>
          <w:sz w:val="24"/>
        </w:rPr>
        <w:t>)</w:t>
      </w:r>
      <w:r w:rsidRPr="005605A9">
        <w:rPr>
          <w:sz w:val="24"/>
        </w:rPr>
        <w:t xml:space="preserve">.” </w:t>
      </w:r>
      <w:r w:rsidRPr="005605A9">
        <w:rPr>
          <w:i/>
          <w:iCs/>
          <w:sz w:val="24"/>
        </w:rPr>
        <w:t>The Journal of Portfolio Management</w:t>
      </w:r>
      <w:r w:rsidRPr="005605A9">
        <w:rPr>
          <w:sz w:val="24"/>
        </w:rPr>
        <w:t>, vol. 46, no. 8 (September).</w:t>
      </w:r>
      <w:r>
        <w:rPr>
          <w:sz w:val="24"/>
        </w:rPr>
        <w:t xml:space="preserve"> </w:t>
      </w:r>
    </w:p>
    <w:p w14:paraId="5A20FAC9" w14:textId="2F9F1C54" w:rsidR="00AC017B" w:rsidRDefault="00AC017B" w:rsidP="00AC017B">
      <w:pPr>
        <w:spacing w:after="240" w:line="240" w:lineRule="auto"/>
        <w:rPr>
          <w:sz w:val="24"/>
        </w:rPr>
      </w:pPr>
      <w:r w:rsidRPr="005605A9">
        <w:rPr>
          <w:sz w:val="24"/>
        </w:rPr>
        <w:t>Czasonis, M., M. Kritzman and D. Turkington. 202</w:t>
      </w:r>
      <w:r>
        <w:rPr>
          <w:sz w:val="24"/>
        </w:rPr>
        <w:t>1</w:t>
      </w:r>
      <w:r w:rsidRPr="005605A9">
        <w:rPr>
          <w:sz w:val="24"/>
        </w:rPr>
        <w:t>. “</w:t>
      </w:r>
      <w:r>
        <w:rPr>
          <w:sz w:val="24"/>
        </w:rPr>
        <w:t>The Stock-Bond Correlation</w:t>
      </w:r>
      <w:r w:rsidRPr="005605A9">
        <w:rPr>
          <w:sz w:val="24"/>
        </w:rPr>
        <w:t xml:space="preserve">.” </w:t>
      </w:r>
      <w:r w:rsidRPr="005605A9">
        <w:rPr>
          <w:i/>
          <w:iCs/>
          <w:sz w:val="24"/>
        </w:rPr>
        <w:t>The Journal of Portfolio Management</w:t>
      </w:r>
      <w:r w:rsidRPr="005605A9">
        <w:rPr>
          <w:sz w:val="24"/>
        </w:rPr>
        <w:t>, vol. 4</w:t>
      </w:r>
      <w:r>
        <w:rPr>
          <w:sz w:val="24"/>
        </w:rPr>
        <w:t>7</w:t>
      </w:r>
      <w:r w:rsidRPr="005605A9">
        <w:rPr>
          <w:sz w:val="24"/>
        </w:rPr>
        <w:t xml:space="preserve">, no. </w:t>
      </w:r>
      <w:r>
        <w:rPr>
          <w:sz w:val="24"/>
        </w:rPr>
        <w:t>3</w:t>
      </w:r>
      <w:r w:rsidRPr="005605A9">
        <w:rPr>
          <w:sz w:val="24"/>
        </w:rPr>
        <w:t xml:space="preserve"> (</w:t>
      </w:r>
      <w:r>
        <w:rPr>
          <w:sz w:val="24"/>
        </w:rPr>
        <w:t>February</w:t>
      </w:r>
      <w:r w:rsidRPr="005605A9">
        <w:rPr>
          <w:sz w:val="24"/>
        </w:rPr>
        <w:t>).</w:t>
      </w:r>
      <w:r>
        <w:rPr>
          <w:sz w:val="24"/>
        </w:rPr>
        <w:t xml:space="preserve"> </w:t>
      </w:r>
    </w:p>
    <w:p w14:paraId="3C94148D" w14:textId="0C32E24B" w:rsidR="00654688" w:rsidRDefault="00654688" w:rsidP="00654688">
      <w:pPr>
        <w:spacing w:after="240" w:line="240" w:lineRule="auto"/>
        <w:rPr>
          <w:sz w:val="24"/>
        </w:rPr>
      </w:pPr>
      <w:r w:rsidRPr="005605A9">
        <w:rPr>
          <w:sz w:val="24"/>
        </w:rPr>
        <w:t xml:space="preserve">Czasonis, M., M. Kritzman and D. Turkington. </w:t>
      </w:r>
      <w:r w:rsidRPr="00654688">
        <w:rPr>
          <w:i/>
          <w:iCs/>
          <w:sz w:val="24"/>
        </w:rPr>
        <w:t>Prediction Revisited: The Importance of Observation</w:t>
      </w:r>
      <w:r w:rsidRPr="005605A9">
        <w:rPr>
          <w:sz w:val="24"/>
        </w:rPr>
        <w:t xml:space="preserve">. </w:t>
      </w:r>
      <w:r>
        <w:rPr>
          <w:sz w:val="24"/>
        </w:rPr>
        <w:t>Wiley, 2022 (forthcoming).</w:t>
      </w:r>
    </w:p>
    <w:p w14:paraId="64C20951" w14:textId="1B5729C9" w:rsidR="00AC017B" w:rsidRDefault="00AC017B" w:rsidP="00AC017B">
      <w:pPr>
        <w:spacing w:after="240" w:line="240" w:lineRule="auto"/>
        <w:rPr>
          <w:sz w:val="24"/>
        </w:rPr>
      </w:pPr>
      <w:r>
        <w:rPr>
          <w:sz w:val="24"/>
        </w:rPr>
        <w:t>Kinlaw</w:t>
      </w:r>
      <w:r w:rsidRPr="005605A9">
        <w:rPr>
          <w:sz w:val="24"/>
        </w:rPr>
        <w:t xml:space="preserve">, </w:t>
      </w:r>
      <w:r>
        <w:rPr>
          <w:sz w:val="24"/>
        </w:rPr>
        <w:t>W</w:t>
      </w:r>
      <w:r w:rsidRPr="005605A9">
        <w:rPr>
          <w:sz w:val="24"/>
        </w:rPr>
        <w:t>., M. Kritzman and D. Turkington. 202</w:t>
      </w:r>
      <w:r>
        <w:rPr>
          <w:sz w:val="24"/>
        </w:rPr>
        <w:t>1</w:t>
      </w:r>
      <w:r w:rsidRPr="005605A9">
        <w:rPr>
          <w:sz w:val="24"/>
        </w:rPr>
        <w:t>. “</w:t>
      </w:r>
      <w:r w:rsidR="00654688">
        <w:rPr>
          <w:sz w:val="24"/>
        </w:rPr>
        <w:t>A New Index of the Business Cycle</w:t>
      </w:r>
      <w:r w:rsidRPr="005605A9">
        <w:rPr>
          <w:sz w:val="24"/>
        </w:rPr>
        <w:t xml:space="preserve">.” </w:t>
      </w:r>
      <w:r w:rsidRPr="005605A9">
        <w:rPr>
          <w:i/>
          <w:iCs/>
          <w:sz w:val="24"/>
        </w:rPr>
        <w:t xml:space="preserve">The Journal </w:t>
      </w:r>
      <w:r w:rsidR="00654688">
        <w:rPr>
          <w:i/>
          <w:iCs/>
          <w:sz w:val="24"/>
        </w:rPr>
        <w:t>of Investment</w:t>
      </w:r>
      <w:r w:rsidRPr="005605A9">
        <w:rPr>
          <w:i/>
          <w:iCs/>
          <w:sz w:val="24"/>
        </w:rPr>
        <w:t xml:space="preserve"> Management</w:t>
      </w:r>
      <w:r w:rsidRPr="005605A9">
        <w:rPr>
          <w:sz w:val="24"/>
        </w:rPr>
        <w:t xml:space="preserve">, vol. </w:t>
      </w:r>
      <w:r w:rsidR="00654688">
        <w:rPr>
          <w:sz w:val="24"/>
        </w:rPr>
        <w:t>19</w:t>
      </w:r>
      <w:r w:rsidRPr="005605A9">
        <w:rPr>
          <w:sz w:val="24"/>
        </w:rPr>
        <w:t xml:space="preserve">, no. </w:t>
      </w:r>
      <w:r>
        <w:rPr>
          <w:sz w:val="24"/>
        </w:rPr>
        <w:t>3</w:t>
      </w:r>
      <w:r w:rsidRPr="005605A9">
        <w:rPr>
          <w:sz w:val="24"/>
        </w:rPr>
        <w:t xml:space="preserve"> (</w:t>
      </w:r>
      <w:r w:rsidR="00654688">
        <w:rPr>
          <w:sz w:val="24"/>
        </w:rPr>
        <w:t>Third Quarter</w:t>
      </w:r>
      <w:r w:rsidRPr="005605A9">
        <w:rPr>
          <w:sz w:val="24"/>
        </w:rPr>
        <w:t>).</w:t>
      </w:r>
      <w:r>
        <w:rPr>
          <w:sz w:val="24"/>
        </w:rPr>
        <w:t xml:space="preserve"> </w:t>
      </w:r>
    </w:p>
    <w:p w14:paraId="7EA8A8F7" w14:textId="33D57437" w:rsidR="00E96AAE" w:rsidRDefault="00E96AAE" w:rsidP="0017132D">
      <w:pPr>
        <w:autoSpaceDE w:val="0"/>
        <w:autoSpaceDN w:val="0"/>
        <w:adjustRightInd w:val="0"/>
        <w:spacing w:after="0" w:line="240" w:lineRule="auto"/>
        <w:rPr>
          <w:rFonts w:cstheme="minorHAnsi"/>
          <w:sz w:val="24"/>
          <w:szCs w:val="24"/>
        </w:rPr>
      </w:pPr>
      <w:r w:rsidRPr="00E96AAE">
        <w:rPr>
          <w:rFonts w:cstheme="minorHAnsi"/>
          <w:sz w:val="24"/>
          <w:szCs w:val="24"/>
        </w:rPr>
        <w:t>Kullback, S.</w:t>
      </w:r>
      <w:r>
        <w:rPr>
          <w:rFonts w:cstheme="minorHAnsi"/>
          <w:sz w:val="24"/>
          <w:szCs w:val="24"/>
        </w:rPr>
        <w:t xml:space="preserve"> and R.A. </w:t>
      </w:r>
      <w:r w:rsidRPr="00E96AAE">
        <w:rPr>
          <w:rFonts w:cstheme="minorHAnsi"/>
          <w:sz w:val="24"/>
          <w:szCs w:val="24"/>
        </w:rPr>
        <w:t>Leibler</w:t>
      </w:r>
      <w:r>
        <w:rPr>
          <w:rFonts w:cstheme="minorHAnsi"/>
          <w:sz w:val="24"/>
          <w:szCs w:val="24"/>
        </w:rPr>
        <w:t xml:space="preserve">. </w:t>
      </w:r>
      <w:r w:rsidRPr="00E96AAE">
        <w:rPr>
          <w:rFonts w:cstheme="minorHAnsi"/>
          <w:sz w:val="24"/>
          <w:szCs w:val="24"/>
        </w:rPr>
        <w:t xml:space="preserve">1951. "On </w:t>
      </w:r>
      <w:r>
        <w:rPr>
          <w:rFonts w:cstheme="minorHAnsi"/>
          <w:sz w:val="24"/>
          <w:szCs w:val="24"/>
        </w:rPr>
        <w:t>I</w:t>
      </w:r>
      <w:r w:rsidRPr="00E96AAE">
        <w:rPr>
          <w:rFonts w:cstheme="minorHAnsi"/>
          <w:sz w:val="24"/>
          <w:szCs w:val="24"/>
        </w:rPr>
        <w:t xml:space="preserve">nformation and </w:t>
      </w:r>
      <w:r>
        <w:rPr>
          <w:rFonts w:cstheme="minorHAnsi"/>
          <w:sz w:val="24"/>
          <w:szCs w:val="24"/>
        </w:rPr>
        <w:t>S</w:t>
      </w:r>
      <w:r w:rsidRPr="00E96AAE">
        <w:rPr>
          <w:rFonts w:cstheme="minorHAnsi"/>
          <w:sz w:val="24"/>
          <w:szCs w:val="24"/>
        </w:rPr>
        <w:t>ufficiency</w:t>
      </w:r>
      <w:r>
        <w:rPr>
          <w:rFonts w:cstheme="minorHAnsi"/>
          <w:sz w:val="24"/>
          <w:szCs w:val="24"/>
        </w:rPr>
        <w:t>.</w:t>
      </w:r>
      <w:r w:rsidRPr="00E96AAE">
        <w:rPr>
          <w:rFonts w:cstheme="minorHAnsi"/>
          <w:sz w:val="24"/>
          <w:szCs w:val="24"/>
        </w:rPr>
        <w:t xml:space="preserve">" </w:t>
      </w:r>
      <w:r w:rsidRPr="00E96AAE">
        <w:rPr>
          <w:rFonts w:cstheme="minorHAnsi"/>
          <w:i/>
          <w:iCs/>
          <w:sz w:val="24"/>
          <w:szCs w:val="24"/>
        </w:rPr>
        <w:t>Annals of Mathematical Statistics</w:t>
      </w:r>
      <w:r w:rsidRPr="00E96AAE">
        <w:rPr>
          <w:rFonts w:cstheme="minorHAnsi"/>
          <w:sz w:val="24"/>
          <w:szCs w:val="24"/>
        </w:rPr>
        <w:t>, vol</w:t>
      </w:r>
      <w:r>
        <w:rPr>
          <w:rFonts w:cstheme="minorHAnsi"/>
          <w:sz w:val="24"/>
          <w:szCs w:val="24"/>
        </w:rPr>
        <w:t xml:space="preserve">. </w:t>
      </w:r>
      <w:r w:rsidRPr="00E96AAE">
        <w:rPr>
          <w:rFonts w:cstheme="minorHAnsi"/>
          <w:sz w:val="24"/>
          <w:szCs w:val="24"/>
        </w:rPr>
        <w:t>22</w:t>
      </w:r>
      <w:r>
        <w:rPr>
          <w:rFonts w:cstheme="minorHAnsi"/>
          <w:sz w:val="24"/>
          <w:szCs w:val="24"/>
        </w:rPr>
        <w:t xml:space="preserve">, no. </w:t>
      </w:r>
      <w:r w:rsidRPr="00E96AAE">
        <w:rPr>
          <w:rFonts w:cstheme="minorHAnsi"/>
          <w:sz w:val="24"/>
          <w:szCs w:val="24"/>
        </w:rPr>
        <w:t>1: 79–86.</w:t>
      </w:r>
    </w:p>
    <w:p w14:paraId="36222E81" w14:textId="77777777" w:rsidR="00E96AAE" w:rsidRDefault="00E96AAE" w:rsidP="0017132D">
      <w:pPr>
        <w:autoSpaceDE w:val="0"/>
        <w:autoSpaceDN w:val="0"/>
        <w:adjustRightInd w:val="0"/>
        <w:spacing w:after="0" w:line="240" w:lineRule="auto"/>
        <w:rPr>
          <w:rFonts w:cstheme="minorHAnsi"/>
          <w:sz w:val="24"/>
          <w:szCs w:val="24"/>
        </w:rPr>
      </w:pPr>
    </w:p>
    <w:p w14:paraId="7ABB9E28" w14:textId="5ED478EB" w:rsidR="0017132D" w:rsidRDefault="0017132D" w:rsidP="0017132D">
      <w:pPr>
        <w:autoSpaceDE w:val="0"/>
        <w:autoSpaceDN w:val="0"/>
        <w:adjustRightInd w:val="0"/>
        <w:spacing w:after="0" w:line="240" w:lineRule="auto"/>
        <w:rPr>
          <w:rFonts w:cstheme="minorHAnsi"/>
          <w:sz w:val="24"/>
          <w:szCs w:val="24"/>
        </w:rPr>
      </w:pPr>
      <w:r w:rsidRPr="0017132D">
        <w:rPr>
          <w:rFonts w:cstheme="minorHAnsi"/>
          <w:sz w:val="24"/>
          <w:szCs w:val="24"/>
        </w:rPr>
        <w:t xml:space="preserve">Lin, R., </w:t>
      </w:r>
      <w:r>
        <w:rPr>
          <w:rFonts w:cstheme="minorHAnsi"/>
          <w:sz w:val="24"/>
          <w:szCs w:val="24"/>
        </w:rPr>
        <w:t xml:space="preserve">E. </w:t>
      </w:r>
      <w:r w:rsidRPr="0017132D">
        <w:rPr>
          <w:rFonts w:cstheme="minorHAnsi"/>
          <w:sz w:val="24"/>
          <w:szCs w:val="24"/>
        </w:rPr>
        <w:t xml:space="preserve">Khalastchi </w:t>
      </w:r>
      <w:r>
        <w:rPr>
          <w:rFonts w:cstheme="minorHAnsi"/>
          <w:sz w:val="24"/>
          <w:szCs w:val="24"/>
        </w:rPr>
        <w:t>and G.</w:t>
      </w:r>
      <w:r w:rsidRPr="0017132D">
        <w:rPr>
          <w:rFonts w:cstheme="minorHAnsi"/>
          <w:sz w:val="24"/>
          <w:szCs w:val="24"/>
        </w:rPr>
        <w:t xml:space="preserve"> Kaminka</w:t>
      </w:r>
      <w:r>
        <w:rPr>
          <w:rFonts w:cstheme="minorHAnsi"/>
          <w:sz w:val="24"/>
          <w:szCs w:val="24"/>
        </w:rPr>
        <w:t xml:space="preserve">. </w:t>
      </w:r>
      <w:r w:rsidRPr="0017132D">
        <w:rPr>
          <w:rFonts w:cstheme="minorHAnsi"/>
          <w:sz w:val="24"/>
          <w:szCs w:val="24"/>
        </w:rPr>
        <w:t>2010. “Detecting</w:t>
      </w:r>
      <w:r>
        <w:rPr>
          <w:rFonts w:cstheme="minorHAnsi"/>
          <w:sz w:val="24"/>
          <w:szCs w:val="24"/>
        </w:rPr>
        <w:t xml:space="preserve"> </w:t>
      </w:r>
      <w:r w:rsidRPr="0017132D">
        <w:rPr>
          <w:rFonts w:cstheme="minorHAnsi"/>
          <w:sz w:val="24"/>
          <w:szCs w:val="24"/>
        </w:rPr>
        <w:t>Anomalies in Unmanned</w:t>
      </w:r>
      <w:r>
        <w:rPr>
          <w:rFonts w:cstheme="minorHAnsi"/>
          <w:sz w:val="24"/>
          <w:szCs w:val="24"/>
        </w:rPr>
        <w:t xml:space="preserve"> </w:t>
      </w:r>
      <w:r w:rsidRPr="0017132D">
        <w:rPr>
          <w:rFonts w:cstheme="minorHAnsi"/>
          <w:sz w:val="24"/>
          <w:szCs w:val="24"/>
        </w:rPr>
        <w:t>Vehicles Using the Mahalanobis</w:t>
      </w:r>
      <w:r>
        <w:rPr>
          <w:rFonts w:cstheme="minorHAnsi"/>
          <w:sz w:val="24"/>
          <w:szCs w:val="24"/>
        </w:rPr>
        <w:t xml:space="preserve"> </w:t>
      </w:r>
      <w:r w:rsidRPr="0017132D">
        <w:rPr>
          <w:rFonts w:cstheme="minorHAnsi"/>
          <w:sz w:val="24"/>
          <w:szCs w:val="24"/>
        </w:rPr>
        <w:t>Distance,” The Maverick Group, Computer Science</w:t>
      </w:r>
      <w:r>
        <w:rPr>
          <w:rFonts w:cstheme="minorHAnsi"/>
          <w:sz w:val="24"/>
          <w:szCs w:val="24"/>
        </w:rPr>
        <w:t xml:space="preserve"> </w:t>
      </w:r>
      <w:r w:rsidRPr="0017132D">
        <w:rPr>
          <w:rFonts w:cstheme="minorHAnsi"/>
          <w:sz w:val="24"/>
          <w:szCs w:val="24"/>
        </w:rPr>
        <w:t>Department, Bar-Ilan University, Ramat-Gan, Israel</w:t>
      </w:r>
      <w:r>
        <w:rPr>
          <w:rFonts w:cstheme="minorHAnsi"/>
          <w:sz w:val="24"/>
          <w:szCs w:val="24"/>
        </w:rPr>
        <w:t xml:space="preserve"> </w:t>
      </w:r>
      <w:r w:rsidRPr="0017132D">
        <w:rPr>
          <w:rFonts w:cstheme="minorHAnsi"/>
          <w:sz w:val="24"/>
          <w:szCs w:val="24"/>
        </w:rPr>
        <w:t>52900.</w:t>
      </w:r>
    </w:p>
    <w:p w14:paraId="02C17431" w14:textId="77777777" w:rsidR="0017132D" w:rsidRDefault="0017132D" w:rsidP="00473978">
      <w:pPr>
        <w:autoSpaceDE w:val="0"/>
        <w:autoSpaceDN w:val="0"/>
        <w:adjustRightInd w:val="0"/>
        <w:spacing w:after="0" w:line="240" w:lineRule="auto"/>
        <w:rPr>
          <w:rFonts w:cstheme="minorHAnsi"/>
          <w:sz w:val="24"/>
          <w:szCs w:val="24"/>
        </w:rPr>
      </w:pPr>
    </w:p>
    <w:p w14:paraId="129564B7" w14:textId="4969CBC8" w:rsidR="00EB2F3D" w:rsidRPr="007C1291" w:rsidRDefault="00EB2F3D" w:rsidP="00473978">
      <w:pPr>
        <w:autoSpaceDE w:val="0"/>
        <w:autoSpaceDN w:val="0"/>
        <w:adjustRightInd w:val="0"/>
        <w:spacing w:after="0" w:line="240" w:lineRule="auto"/>
        <w:rPr>
          <w:rFonts w:cstheme="minorHAnsi"/>
          <w:sz w:val="24"/>
          <w:szCs w:val="24"/>
        </w:rPr>
      </w:pPr>
      <w:r w:rsidRPr="007C1291">
        <w:rPr>
          <w:rFonts w:cstheme="minorHAnsi"/>
          <w:sz w:val="24"/>
          <w:szCs w:val="24"/>
        </w:rPr>
        <w:t xml:space="preserve">Mahalanobis, P.C. 1927. “Analysis of Race-Mixture in Bengal.” </w:t>
      </w:r>
      <w:r w:rsidRPr="007C1291">
        <w:rPr>
          <w:rFonts w:cstheme="minorHAnsi"/>
          <w:i/>
          <w:iCs/>
          <w:sz w:val="24"/>
          <w:szCs w:val="24"/>
        </w:rPr>
        <w:t>Journal of the Asiatic Society of Bengal</w:t>
      </w:r>
      <w:r w:rsidRPr="007C1291">
        <w:rPr>
          <w:rFonts w:cstheme="minorHAnsi"/>
          <w:sz w:val="24"/>
          <w:szCs w:val="24"/>
        </w:rPr>
        <w:t>, vol. 23: 301–333.</w:t>
      </w:r>
    </w:p>
    <w:p w14:paraId="084571A3" w14:textId="77777777" w:rsidR="00EB2F3D" w:rsidRPr="007C1291" w:rsidRDefault="00EB2F3D" w:rsidP="00473978">
      <w:pPr>
        <w:autoSpaceDE w:val="0"/>
        <w:autoSpaceDN w:val="0"/>
        <w:adjustRightInd w:val="0"/>
        <w:spacing w:after="0" w:line="240" w:lineRule="auto"/>
        <w:rPr>
          <w:rFonts w:cstheme="minorHAnsi"/>
          <w:sz w:val="24"/>
          <w:szCs w:val="24"/>
        </w:rPr>
      </w:pPr>
    </w:p>
    <w:p w14:paraId="6B2533AF" w14:textId="77777777" w:rsidR="00EB2F3D" w:rsidRPr="007C1291" w:rsidRDefault="00EB2F3D" w:rsidP="00473978">
      <w:pPr>
        <w:autoSpaceDE w:val="0"/>
        <w:autoSpaceDN w:val="0"/>
        <w:adjustRightInd w:val="0"/>
        <w:spacing w:after="0" w:line="240" w:lineRule="auto"/>
        <w:rPr>
          <w:rFonts w:cstheme="minorHAnsi"/>
          <w:sz w:val="24"/>
          <w:szCs w:val="24"/>
        </w:rPr>
      </w:pPr>
      <w:r w:rsidRPr="007C1291">
        <w:rPr>
          <w:rFonts w:cstheme="minorHAnsi"/>
          <w:sz w:val="24"/>
          <w:szCs w:val="24"/>
        </w:rPr>
        <w:t xml:space="preserve">Mahalanobis, P. C. 1936. “On the Generalised Distance in Statistics.” </w:t>
      </w:r>
      <w:r w:rsidRPr="007C1291">
        <w:rPr>
          <w:rFonts w:cstheme="minorHAnsi"/>
          <w:i/>
          <w:iCs/>
          <w:sz w:val="24"/>
          <w:szCs w:val="24"/>
        </w:rPr>
        <w:t>Proceedings of the National Institute of Sciences of India</w:t>
      </w:r>
      <w:r w:rsidRPr="007C1291">
        <w:rPr>
          <w:rFonts w:cstheme="minorHAnsi"/>
          <w:sz w:val="24"/>
          <w:szCs w:val="24"/>
        </w:rPr>
        <w:t xml:space="preserve">, vol. 2, no. 1: 49–55. </w:t>
      </w:r>
    </w:p>
    <w:p w14:paraId="0D3CA6A1" w14:textId="77777777" w:rsidR="00EB2F3D" w:rsidRDefault="00EB2F3D" w:rsidP="00473978">
      <w:pPr>
        <w:autoSpaceDE w:val="0"/>
        <w:autoSpaceDN w:val="0"/>
        <w:adjustRightInd w:val="0"/>
        <w:spacing w:after="0" w:line="240" w:lineRule="auto"/>
        <w:rPr>
          <w:rFonts w:cstheme="minorHAnsi"/>
          <w:sz w:val="24"/>
          <w:szCs w:val="24"/>
        </w:rPr>
      </w:pPr>
    </w:p>
    <w:p w14:paraId="0229EE07" w14:textId="32DEDFB3" w:rsidR="004208A1" w:rsidRDefault="004208A1" w:rsidP="004208A1">
      <w:pPr>
        <w:autoSpaceDE w:val="0"/>
        <w:autoSpaceDN w:val="0"/>
        <w:adjustRightInd w:val="0"/>
        <w:spacing w:after="0" w:line="240" w:lineRule="auto"/>
        <w:rPr>
          <w:rFonts w:cstheme="minorHAnsi"/>
          <w:sz w:val="24"/>
          <w:szCs w:val="24"/>
        </w:rPr>
      </w:pPr>
      <w:r w:rsidRPr="004208A1">
        <w:rPr>
          <w:rFonts w:cstheme="minorHAnsi"/>
          <w:sz w:val="24"/>
          <w:szCs w:val="24"/>
        </w:rPr>
        <w:t xml:space="preserve">Nasief, H., </w:t>
      </w:r>
      <w:r w:rsidR="00E0064F">
        <w:rPr>
          <w:rFonts w:cstheme="minorHAnsi"/>
          <w:sz w:val="24"/>
          <w:szCs w:val="24"/>
        </w:rPr>
        <w:t xml:space="preserve">I. </w:t>
      </w:r>
      <w:r w:rsidRPr="004208A1">
        <w:rPr>
          <w:rFonts w:cstheme="minorHAnsi"/>
          <w:sz w:val="24"/>
          <w:szCs w:val="24"/>
        </w:rPr>
        <w:t xml:space="preserve">Rosado-Mendez, </w:t>
      </w:r>
      <w:r w:rsidR="00E0064F">
        <w:rPr>
          <w:rFonts w:cstheme="minorHAnsi"/>
          <w:sz w:val="24"/>
          <w:szCs w:val="24"/>
        </w:rPr>
        <w:t>J.</w:t>
      </w:r>
      <w:r w:rsidRPr="004208A1">
        <w:rPr>
          <w:rFonts w:cstheme="minorHAnsi"/>
          <w:sz w:val="24"/>
          <w:szCs w:val="24"/>
        </w:rPr>
        <w:t xml:space="preserve"> Zagzebski, </w:t>
      </w:r>
      <w:r w:rsidR="00E0064F">
        <w:rPr>
          <w:rFonts w:cstheme="minorHAnsi"/>
          <w:sz w:val="24"/>
          <w:szCs w:val="24"/>
        </w:rPr>
        <w:t>and T.</w:t>
      </w:r>
      <w:r w:rsidRPr="004208A1">
        <w:rPr>
          <w:rFonts w:cstheme="minorHAnsi"/>
          <w:sz w:val="24"/>
          <w:szCs w:val="24"/>
        </w:rPr>
        <w:t xml:space="preserve"> Hall</w:t>
      </w:r>
      <w:r w:rsidR="00E0064F">
        <w:rPr>
          <w:rFonts w:cstheme="minorHAnsi"/>
          <w:sz w:val="24"/>
          <w:szCs w:val="24"/>
        </w:rPr>
        <w:t xml:space="preserve">. </w:t>
      </w:r>
      <w:r w:rsidRPr="004208A1">
        <w:rPr>
          <w:rFonts w:cstheme="minorHAnsi"/>
          <w:sz w:val="24"/>
          <w:szCs w:val="24"/>
        </w:rPr>
        <w:t>2019. “A Quantitative Ultrasound-Based Multiparameter</w:t>
      </w:r>
      <w:r w:rsidR="00E0064F">
        <w:rPr>
          <w:rFonts w:cstheme="minorHAnsi"/>
          <w:sz w:val="24"/>
          <w:szCs w:val="24"/>
        </w:rPr>
        <w:t xml:space="preserve"> </w:t>
      </w:r>
      <w:r w:rsidRPr="004208A1">
        <w:rPr>
          <w:rFonts w:cstheme="minorHAnsi"/>
          <w:sz w:val="24"/>
          <w:szCs w:val="24"/>
        </w:rPr>
        <w:t xml:space="preserve">Classifier for Breast Masses,” </w:t>
      </w:r>
      <w:r w:rsidRPr="00E0064F">
        <w:rPr>
          <w:rFonts w:cstheme="minorHAnsi"/>
          <w:i/>
          <w:iCs/>
          <w:sz w:val="24"/>
          <w:szCs w:val="24"/>
        </w:rPr>
        <w:t>Ultrasound in</w:t>
      </w:r>
      <w:r w:rsidR="00E0064F" w:rsidRPr="00E0064F">
        <w:rPr>
          <w:rFonts w:cstheme="minorHAnsi"/>
          <w:i/>
          <w:iCs/>
          <w:sz w:val="24"/>
          <w:szCs w:val="24"/>
        </w:rPr>
        <w:t xml:space="preserve"> </w:t>
      </w:r>
      <w:r w:rsidRPr="00E0064F">
        <w:rPr>
          <w:rFonts w:cstheme="minorHAnsi"/>
          <w:i/>
          <w:iCs/>
          <w:sz w:val="24"/>
          <w:szCs w:val="24"/>
        </w:rPr>
        <w:t>Medicine &amp; Biology</w:t>
      </w:r>
      <w:r w:rsidR="00E0064F">
        <w:rPr>
          <w:rFonts w:cstheme="minorHAnsi"/>
          <w:sz w:val="24"/>
          <w:szCs w:val="24"/>
        </w:rPr>
        <w:t>, vol.</w:t>
      </w:r>
      <w:r w:rsidRPr="004208A1">
        <w:rPr>
          <w:rFonts w:cstheme="minorHAnsi"/>
          <w:sz w:val="24"/>
          <w:szCs w:val="24"/>
        </w:rPr>
        <w:t xml:space="preserve"> 45</w:t>
      </w:r>
      <w:r w:rsidR="00E0064F">
        <w:rPr>
          <w:rFonts w:cstheme="minorHAnsi"/>
          <w:sz w:val="24"/>
          <w:szCs w:val="24"/>
        </w:rPr>
        <w:t xml:space="preserve">, no. </w:t>
      </w:r>
      <w:r w:rsidRPr="004208A1">
        <w:rPr>
          <w:rFonts w:cstheme="minorHAnsi"/>
          <w:sz w:val="24"/>
          <w:szCs w:val="24"/>
        </w:rPr>
        <w:t>7,</w:t>
      </w:r>
      <w:r w:rsidR="00E0064F">
        <w:rPr>
          <w:rFonts w:cstheme="minorHAnsi"/>
          <w:sz w:val="24"/>
          <w:szCs w:val="24"/>
        </w:rPr>
        <w:t xml:space="preserve"> (July):</w:t>
      </w:r>
      <w:r w:rsidRPr="004208A1">
        <w:rPr>
          <w:rFonts w:cstheme="minorHAnsi"/>
          <w:sz w:val="24"/>
          <w:szCs w:val="24"/>
        </w:rPr>
        <w:t xml:space="preserve"> 1603–1616</w:t>
      </w:r>
      <w:r w:rsidR="00E0064F">
        <w:rPr>
          <w:rFonts w:cstheme="minorHAnsi"/>
          <w:sz w:val="24"/>
          <w:szCs w:val="24"/>
        </w:rPr>
        <w:t>.</w:t>
      </w:r>
    </w:p>
    <w:p w14:paraId="7B2C1C7A" w14:textId="77777777" w:rsidR="004208A1" w:rsidRDefault="004208A1" w:rsidP="004208A1">
      <w:pPr>
        <w:autoSpaceDE w:val="0"/>
        <w:autoSpaceDN w:val="0"/>
        <w:adjustRightInd w:val="0"/>
        <w:spacing w:after="0" w:line="240" w:lineRule="auto"/>
        <w:rPr>
          <w:rFonts w:cstheme="minorHAnsi"/>
          <w:sz w:val="24"/>
          <w:szCs w:val="24"/>
        </w:rPr>
      </w:pPr>
    </w:p>
    <w:p w14:paraId="6AD1313F" w14:textId="47CF98E9" w:rsidR="00EB2F3D" w:rsidRPr="007C1291" w:rsidRDefault="00EB2F3D" w:rsidP="00473978">
      <w:pPr>
        <w:autoSpaceDE w:val="0"/>
        <w:autoSpaceDN w:val="0"/>
        <w:adjustRightInd w:val="0"/>
        <w:spacing w:after="0" w:line="240" w:lineRule="auto"/>
        <w:rPr>
          <w:rFonts w:cstheme="minorHAnsi"/>
          <w:sz w:val="24"/>
          <w:szCs w:val="24"/>
        </w:rPr>
      </w:pPr>
      <w:r>
        <w:rPr>
          <w:rFonts w:cstheme="minorHAnsi"/>
          <w:sz w:val="24"/>
          <w:szCs w:val="24"/>
        </w:rPr>
        <w:t xml:space="preserve">Shannon, C. 1948. “A Mathematical Theory of Communication.” </w:t>
      </w:r>
      <w:r w:rsidRPr="00F35D30">
        <w:rPr>
          <w:rFonts w:cstheme="minorHAnsi"/>
          <w:i/>
          <w:iCs/>
          <w:sz w:val="24"/>
          <w:szCs w:val="24"/>
        </w:rPr>
        <w:t>The Bell System Technical Journal</w:t>
      </w:r>
      <w:r>
        <w:rPr>
          <w:rFonts w:cstheme="minorHAnsi"/>
          <w:sz w:val="24"/>
          <w:szCs w:val="24"/>
        </w:rPr>
        <w:t xml:space="preserve">, vol. 27, pp 379-423, 623-656, </w:t>
      </w:r>
      <w:r w:rsidR="00473978">
        <w:rPr>
          <w:rFonts w:cstheme="minorHAnsi"/>
          <w:sz w:val="24"/>
          <w:szCs w:val="24"/>
        </w:rPr>
        <w:t>(</w:t>
      </w:r>
      <w:r>
        <w:rPr>
          <w:rFonts w:cstheme="minorHAnsi"/>
          <w:sz w:val="24"/>
          <w:szCs w:val="24"/>
        </w:rPr>
        <w:t>July, October</w:t>
      </w:r>
      <w:r w:rsidR="00473978">
        <w:rPr>
          <w:rFonts w:cstheme="minorHAnsi"/>
          <w:sz w:val="24"/>
          <w:szCs w:val="24"/>
        </w:rPr>
        <w:t>)</w:t>
      </w:r>
      <w:r>
        <w:rPr>
          <w:rFonts w:cstheme="minorHAnsi"/>
          <w:sz w:val="24"/>
          <w:szCs w:val="24"/>
        </w:rPr>
        <w:t>.</w:t>
      </w:r>
    </w:p>
    <w:p w14:paraId="2336837D" w14:textId="77777777" w:rsidR="00473978" w:rsidRDefault="00473978" w:rsidP="00473978">
      <w:pPr>
        <w:spacing w:after="0" w:line="240" w:lineRule="auto"/>
        <w:rPr>
          <w:rFonts w:eastAsiaTheme="minorEastAsia"/>
          <w:color w:val="000000" w:themeColor="text1"/>
          <w:kern w:val="24"/>
          <w:sz w:val="24"/>
          <w:szCs w:val="24"/>
        </w:rPr>
      </w:pPr>
    </w:p>
    <w:p w14:paraId="75CFEE61" w14:textId="5AE20417" w:rsidR="00473978" w:rsidRPr="00473978" w:rsidRDefault="00473978" w:rsidP="00473978">
      <w:pPr>
        <w:spacing w:after="0" w:line="240" w:lineRule="auto"/>
        <w:rPr>
          <w:rFonts w:eastAsiaTheme="minorEastAsia"/>
          <w:color w:val="000000" w:themeColor="text1"/>
          <w:kern w:val="24"/>
          <w:sz w:val="24"/>
          <w:szCs w:val="24"/>
        </w:rPr>
      </w:pPr>
      <w:r w:rsidRPr="0020445E">
        <w:rPr>
          <w:rFonts w:eastAsiaTheme="minorEastAsia"/>
          <w:color w:val="000000" w:themeColor="text1"/>
          <w:kern w:val="24"/>
          <w:sz w:val="24"/>
          <w:szCs w:val="24"/>
        </w:rPr>
        <w:t xml:space="preserve">Su, C. and </w:t>
      </w:r>
      <w:r w:rsidR="004208A1" w:rsidRPr="0020445E">
        <w:rPr>
          <w:rFonts w:eastAsiaTheme="minorEastAsia"/>
          <w:color w:val="000000" w:themeColor="text1"/>
          <w:kern w:val="24"/>
          <w:sz w:val="24"/>
          <w:szCs w:val="24"/>
        </w:rPr>
        <w:t xml:space="preserve">S. </w:t>
      </w:r>
      <w:r w:rsidRPr="0020445E">
        <w:rPr>
          <w:rFonts w:eastAsiaTheme="minorEastAsia"/>
          <w:color w:val="000000" w:themeColor="text1"/>
          <w:kern w:val="24"/>
          <w:sz w:val="24"/>
          <w:szCs w:val="24"/>
        </w:rPr>
        <w:t>Li</w:t>
      </w:r>
      <w:r w:rsidR="004208A1" w:rsidRPr="0020445E">
        <w:rPr>
          <w:rFonts w:eastAsiaTheme="minorEastAsia"/>
          <w:color w:val="000000" w:themeColor="text1"/>
          <w:kern w:val="24"/>
          <w:sz w:val="24"/>
          <w:szCs w:val="24"/>
        </w:rPr>
        <w:t xml:space="preserve">. </w:t>
      </w:r>
      <w:r w:rsidRPr="0020445E">
        <w:rPr>
          <w:rFonts w:eastAsiaTheme="minorEastAsia"/>
          <w:color w:val="000000" w:themeColor="text1"/>
          <w:kern w:val="24"/>
          <w:sz w:val="24"/>
          <w:szCs w:val="24"/>
        </w:rPr>
        <w:t xml:space="preserve">2002. </w:t>
      </w:r>
      <w:r w:rsidRPr="00473978">
        <w:rPr>
          <w:rFonts w:eastAsiaTheme="minorEastAsia"/>
          <w:color w:val="000000" w:themeColor="text1"/>
          <w:kern w:val="24"/>
          <w:sz w:val="24"/>
          <w:szCs w:val="24"/>
        </w:rPr>
        <w:t>“A MD Based Classifier for</w:t>
      </w:r>
      <w:r>
        <w:rPr>
          <w:rFonts w:eastAsiaTheme="minorEastAsia"/>
          <w:color w:val="000000" w:themeColor="text1"/>
          <w:kern w:val="24"/>
          <w:sz w:val="24"/>
          <w:szCs w:val="24"/>
        </w:rPr>
        <w:t xml:space="preserve"> </w:t>
      </w:r>
      <w:r w:rsidRPr="00473978">
        <w:rPr>
          <w:rFonts w:eastAsiaTheme="minorEastAsia"/>
          <w:color w:val="000000" w:themeColor="text1"/>
          <w:kern w:val="24"/>
          <w:sz w:val="24"/>
          <w:szCs w:val="24"/>
        </w:rPr>
        <w:t xml:space="preserve">Diagnosing Diseases,” </w:t>
      </w:r>
      <w:r w:rsidRPr="00473978">
        <w:rPr>
          <w:rFonts w:eastAsiaTheme="minorEastAsia"/>
          <w:i/>
          <w:iCs/>
          <w:color w:val="000000" w:themeColor="text1"/>
          <w:kern w:val="24"/>
          <w:sz w:val="24"/>
          <w:szCs w:val="24"/>
        </w:rPr>
        <w:t>Journal of Chinese Institute of Industrial Engineers</w:t>
      </w:r>
      <w:r w:rsidRPr="00473978">
        <w:rPr>
          <w:rFonts w:eastAsiaTheme="minorEastAsia"/>
          <w:color w:val="000000" w:themeColor="text1"/>
          <w:kern w:val="24"/>
          <w:sz w:val="24"/>
          <w:szCs w:val="24"/>
        </w:rPr>
        <w:t>, vol. 19, no. 5, (September)</w:t>
      </w:r>
      <w:r>
        <w:rPr>
          <w:rFonts w:eastAsiaTheme="minorEastAsia"/>
          <w:color w:val="000000" w:themeColor="text1"/>
          <w:kern w:val="24"/>
          <w:sz w:val="24"/>
          <w:szCs w:val="24"/>
        </w:rPr>
        <w:t xml:space="preserve">: </w:t>
      </w:r>
      <w:r w:rsidRPr="00473978">
        <w:rPr>
          <w:rFonts w:eastAsiaTheme="minorEastAsia"/>
          <w:color w:val="000000" w:themeColor="text1"/>
          <w:kern w:val="24"/>
          <w:sz w:val="24"/>
          <w:szCs w:val="24"/>
        </w:rPr>
        <w:t>41–47</w:t>
      </w:r>
      <w:r>
        <w:rPr>
          <w:rFonts w:eastAsiaTheme="minorEastAsia"/>
          <w:color w:val="000000" w:themeColor="text1"/>
          <w:kern w:val="24"/>
          <w:sz w:val="24"/>
          <w:szCs w:val="24"/>
        </w:rPr>
        <w:t>.</w:t>
      </w:r>
      <w:r w:rsidRPr="00473978">
        <w:rPr>
          <w:rFonts w:eastAsiaTheme="minorEastAsia"/>
          <w:color w:val="000000" w:themeColor="text1"/>
          <w:kern w:val="24"/>
          <w:sz w:val="24"/>
          <w:szCs w:val="24"/>
        </w:rPr>
        <w:t xml:space="preserve"> </w:t>
      </w:r>
    </w:p>
    <w:p w14:paraId="61DA3615" w14:textId="77777777" w:rsidR="00473978" w:rsidRDefault="00473978" w:rsidP="00473978">
      <w:pPr>
        <w:spacing w:after="0" w:line="240" w:lineRule="auto"/>
        <w:rPr>
          <w:rFonts w:eastAsiaTheme="minorEastAsia"/>
          <w:color w:val="000000" w:themeColor="text1"/>
          <w:kern w:val="24"/>
          <w:sz w:val="24"/>
          <w:szCs w:val="24"/>
        </w:rPr>
      </w:pPr>
    </w:p>
    <w:p w14:paraId="39FF4535" w14:textId="782EF62A" w:rsidR="00473978" w:rsidRDefault="00473978" w:rsidP="00473978">
      <w:pPr>
        <w:spacing w:after="0" w:line="240" w:lineRule="auto"/>
        <w:rPr>
          <w:rFonts w:eastAsiaTheme="minorEastAsia"/>
          <w:color w:val="000000" w:themeColor="text1"/>
          <w:kern w:val="24"/>
          <w:sz w:val="24"/>
          <w:szCs w:val="24"/>
        </w:rPr>
      </w:pPr>
      <w:r w:rsidRPr="00473978">
        <w:rPr>
          <w:rFonts w:eastAsiaTheme="minorEastAsia"/>
          <w:color w:val="000000" w:themeColor="text1"/>
          <w:kern w:val="24"/>
          <w:sz w:val="24"/>
          <w:szCs w:val="24"/>
        </w:rPr>
        <w:t xml:space="preserve">Wang, P., </w:t>
      </w:r>
      <w:r w:rsidR="00E0064F">
        <w:rPr>
          <w:rFonts w:eastAsiaTheme="minorEastAsia"/>
          <w:color w:val="000000" w:themeColor="text1"/>
          <w:kern w:val="24"/>
          <w:sz w:val="24"/>
          <w:szCs w:val="24"/>
        </w:rPr>
        <w:t xml:space="preserve">C. </w:t>
      </w:r>
      <w:r w:rsidRPr="00473978">
        <w:rPr>
          <w:rFonts w:eastAsiaTheme="minorEastAsia"/>
          <w:color w:val="000000" w:themeColor="text1"/>
          <w:kern w:val="24"/>
          <w:sz w:val="24"/>
          <w:szCs w:val="24"/>
        </w:rPr>
        <w:t xml:space="preserve">Su, </w:t>
      </w:r>
      <w:r w:rsidR="00E0064F">
        <w:rPr>
          <w:rFonts w:eastAsiaTheme="minorEastAsia"/>
          <w:color w:val="000000" w:themeColor="text1"/>
          <w:kern w:val="24"/>
          <w:sz w:val="24"/>
          <w:szCs w:val="24"/>
        </w:rPr>
        <w:t>K.</w:t>
      </w:r>
      <w:r w:rsidRPr="00473978">
        <w:rPr>
          <w:rFonts w:eastAsiaTheme="minorEastAsia"/>
          <w:color w:val="000000" w:themeColor="text1"/>
          <w:kern w:val="24"/>
          <w:sz w:val="24"/>
          <w:szCs w:val="24"/>
        </w:rPr>
        <w:t xml:space="preserve"> Chen and </w:t>
      </w:r>
      <w:r w:rsidR="00E0064F">
        <w:rPr>
          <w:rFonts w:eastAsiaTheme="minorEastAsia"/>
          <w:color w:val="000000" w:themeColor="text1"/>
          <w:kern w:val="24"/>
          <w:sz w:val="24"/>
          <w:szCs w:val="24"/>
        </w:rPr>
        <w:t xml:space="preserve">N. </w:t>
      </w:r>
      <w:r w:rsidRPr="00473978">
        <w:rPr>
          <w:rFonts w:eastAsiaTheme="minorEastAsia"/>
          <w:color w:val="000000" w:themeColor="text1"/>
          <w:kern w:val="24"/>
          <w:sz w:val="24"/>
          <w:szCs w:val="24"/>
        </w:rPr>
        <w:t>Chen</w:t>
      </w:r>
      <w:r w:rsidR="00E0064F">
        <w:rPr>
          <w:rFonts w:eastAsiaTheme="minorEastAsia"/>
          <w:color w:val="000000" w:themeColor="text1"/>
          <w:kern w:val="24"/>
          <w:sz w:val="24"/>
          <w:szCs w:val="24"/>
        </w:rPr>
        <w:t xml:space="preserve">. </w:t>
      </w:r>
      <w:r w:rsidRPr="00473978">
        <w:rPr>
          <w:rFonts w:eastAsiaTheme="minorEastAsia"/>
          <w:color w:val="000000" w:themeColor="text1"/>
          <w:kern w:val="24"/>
          <w:sz w:val="24"/>
          <w:szCs w:val="24"/>
        </w:rPr>
        <w:t>2011. “The</w:t>
      </w:r>
      <w:r>
        <w:rPr>
          <w:rFonts w:eastAsiaTheme="minorEastAsia"/>
          <w:color w:val="000000" w:themeColor="text1"/>
          <w:kern w:val="24"/>
          <w:sz w:val="24"/>
          <w:szCs w:val="24"/>
        </w:rPr>
        <w:t xml:space="preserve"> </w:t>
      </w:r>
      <w:r w:rsidRPr="00473978">
        <w:rPr>
          <w:rFonts w:eastAsiaTheme="minorEastAsia"/>
          <w:color w:val="000000" w:themeColor="text1"/>
          <w:kern w:val="24"/>
          <w:sz w:val="24"/>
          <w:szCs w:val="24"/>
        </w:rPr>
        <w:t>Application of Rough Set and Mahalanobis Distance to</w:t>
      </w:r>
      <w:r>
        <w:rPr>
          <w:rFonts w:eastAsiaTheme="minorEastAsia"/>
          <w:color w:val="000000" w:themeColor="text1"/>
          <w:kern w:val="24"/>
          <w:sz w:val="24"/>
          <w:szCs w:val="24"/>
        </w:rPr>
        <w:t xml:space="preserve"> </w:t>
      </w:r>
      <w:r w:rsidRPr="00473978">
        <w:rPr>
          <w:rFonts w:eastAsiaTheme="minorEastAsia"/>
          <w:color w:val="000000" w:themeColor="text1"/>
          <w:kern w:val="24"/>
          <w:sz w:val="24"/>
          <w:szCs w:val="24"/>
        </w:rPr>
        <w:t xml:space="preserve">Enhance the Quality of OSA Diagnosis,” </w:t>
      </w:r>
      <w:r w:rsidRPr="00473978">
        <w:rPr>
          <w:rFonts w:eastAsiaTheme="minorEastAsia"/>
          <w:i/>
          <w:iCs/>
          <w:color w:val="000000" w:themeColor="text1"/>
          <w:kern w:val="24"/>
          <w:sz w:val="24"/>
          <w:szCs w:val="24"/>
        </w:rPr>
        <w:t>Expert Systems with Applications</w:t>
      </w:r>
      <w:r>
        <w:rPr>
          <w:rFonts w:eastAsiaTheme="minorEastAsia"/>
          <w:color w:val="000000" w:themeColor="text1"/>
          <w:kern w:val="24"/>
          <w:sz w:val="24"/>
          <w:szCs w:val="24"/>
        </w:rPr>
        <w:t>, vol.</w:t>
      </w:r>
      <w:r w:rsidRPr="00473978">
        <w:rPr>
          <w:rFonts w:eastAsiaTheme="minorEastAsia"/>
          <w:color w:val="000000" w:themeColor="text1"/>
          <w:kern w:val="24"/>
          <w:sz w:val="24"/>
          <w:szCs w:val="24"/>
        </w:rPr>
        <w:t xml:space="preserve"> 38</w:t>
      </w:r>
      <w:r>
        <w:rPr>
          <w:rFonts w:eastAsiaTheme="minorEastAsia"/>
          <w:color w:val="000000" w:themeColor="text1"/>
          <w:kern w:val="24"/>
          <w:sz w:val="24"/>
          <w:szCs w:val="24"/>
        </w:rPr>
        <w:t xml:space="preserve">, no. </w:t>
      </w:r>
      <w:r w:rsidRPr="00473978">
        <w:rPr>
          <w:rFonts w:eastAsiaTheme="minorEastAsia"/>
          <w:color w:val="000000" w:themeColor="text1"/>
          <w:kern w:val="24"/>
          <w:sz w:val="24"/>
          <w:szCs w:val="24"/>
        </w:rPr>
        <w:t xml:space="preserve">6, </w:t>
      </w:r>
      <w:r>
        <w:rPr>
          <w:rFonts w:eastAsiaTheme="minorEastAsia"/>
          <w:color w:val="000000" w:themeColor="text1"/>
          <w:kern w:val="24"/>
          <w:sz w:val="24"/>
          <w:szCs w:val="24"/>
        </w:rPr>
        <w:t xml:space="preserve">(June): </w:t>
      </w:r>
      <w:r w:rsidRPr="00473978">
        <w:rPr>
          <w:rFonts w:eastAsiaTheme="minorEastAsia"/>
          <w:color w:val="000000" w:themeColor="text1"/>
          <w:kern w:val="24"/>
          <w:sz w:val="24"/>
          <w:szCs w:val="24"/>
        </w:rPr>
        <w:t>7828–7836.</w:t>
      </w:r>
    </w:p>
    <w:p w14:paraId="70B3F39E" w14:textId="77777777" w:rsidR="00DF2B98" w:rsidRPr="00DF2B98" w:rsidRDefault="00DF2B98" w:rsidP="0045163A">
      <w:pPr>
        <w:spacing w:line="480" w:lineRule="auto"/>
        <w:rPr>
          <w:sz w:val="24"/>
          <w:szCs w:val="24"/>
        </w:rPr>
      </w:pPr>
    </w:p>
    <w:sectPr w:rsidR="00DF2B98" w:rsidRPr="00DF2B98" w:rsidSect="00523F0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E958" w14:textId="77777777" w:rsidR="00F417F3" w:rsidRDefault="00F417F3" w:rsidP="00372AB0">
      <w:pPr>
        <w:spacing w:after="0" w:line="240" w:lineRule="auto"/>
      </w:pPr>
      <w:r>
        <w:separator/>
      </w:r>
    </w:p>
  </w:endnote>
  <w:endnote w:type="continuationSeparator" w:id="0">
    <w:p w14:paraId="77BDE6A9" w14:textId="77777777" w:rsidR="00F417F3" w:rsidRDefault="00F417F3" w:rsidP="00372AB0">
      <w:pPr>
        <w:spacing w:after="0" w:line="240" w:lineRule="auto"/>
      </w:pPr>
      <w:r>
        <w:continuationSeparator/>
      </w:r>
    </w:p>
  </w:endnote>
  <w:endnote w:id="1">
    <w:p w14:paraId="4DA8483E" w14:textId="77777777" w:rsidR="00D964F1" w:rsidRDefault="00D964F1" w:rsidP="00D964F1">
      <w:pPr>
        <w:pStyle w:val="EndnoteText"/>
      </w:pPr>
      <w:r>
        <w:rPr>
          <w:rStyle w:val="EndnoteReference"/>
        </w:rPr>
        <w:endnoteRef/>
      </w:r>
      <w:r>
        <w:t xml:space="preserve"> See Mahalanobis (1927) and Mahalanobis (1936).</w:t>
      </w:r>
    </w:p>
  </w:endnote>
  <w:endnote w:id="2">
    <w:p w14:paraId="7F9CD306" w14:textId="0D8C6A3E" w:rsidR="00ED2202" w:rsidRDefault="00ED2202">
      <w:pPr>
        <w:pStyle w:val="EndnoteText"/>
      </w:pPr>
      <w:r>
        <w:rPr>
          <w:rStyle w:val="EndnoteReference"/>
        </w:rPr>
        <w:endnoteRef/>
      </w:r>
      <w:r w:rsidR="008F131C">
        <w:t xml:space="preserve"> Specifically, we use the Ken French 12 industry portfolios and exclude the industry labeled as “Other.” We obtain this data from the Ken French online data library.</w:t>
      </w:r>
    </w:p>
  </w:endnote>
  <w:endnote w:id="3">
    <w:p w14:paraId="14139383" w14:textId="51DC5101" w:rsidR="00ED2202" w:rsidRDefault="00ED2202">
      <w:pPr>
        <w:pStyle w:val="EndnoteText"/>
      </w:pPr>
      <w:r>
        <w:rPr>
          <w:rStyle w:val="EndnoteReference"/>
        </w:rPr>
        <w:endnoteRef/>
      </w:r>
      <w:r>
        <w:t xml:space="preserve"> </w:t>
      </w:r>
      <w:r w:rsidR="008F131C">
        <w:t>We obtain the U.S. market from the Ken French online data library and all other series from Thomson Reuters Datastream.</w:t>
      </w:r>
    </w:p>
  </w:endnote>
  <w:endnote w:id="4">
    <w:p w14:paraId="4AC3B9AC" w14:textId="6E28FBD3" w:rsidR="00A45858" w:rsidRDefault="00A45858" w:rsidP="00A45858">
      <w:pPr>
        <w:pStyle w:val="EndnoteText"/>
      </w:pPr>
      <w:r>
        <w:rPr>
          <w:rStyle w:val="EndnoteReference"/>
        </w:rPr>
        <w:endnoteRef/>
      </w:r>
      <w:r>
        <w:t xml:space="preserve"> </w:t>
      </w:r>
      <w:r w:rsidR="00E96AAE">
        <w:t>See Kullback and Leibler (1951).</w:t>
      </w:r>
    </w:p>
  </w:endnote>
  <w:endnote w:id="5">
    <w:p w14:paraId="0F506D26" w14:textId="380F4727" w:rsidR="00337D31" w:rsidRDefault="00337D31">
      <w:pPr>
        <w:pStyle w:val="EndnoteText"/>
      </w:pPr>
      <w:r>
        <w:rPr>
          <w:rStyle w:val="EndnoteReference"/>
        </w:rPr>
        <w:endnoteRef/>
      </w:r>
      <w:r>
        <w:t xml:space="preserve"> </w:t>
      </w:r>
      <w:r w:rsidR="008F131C" w:rsidRPr="0037778F">
        <w:t xml:space="preserve">Specifically, </w:t>
      </w:r>
      <w:r w:rsidR="00DA46E4" w:rsidRPr="0037778F">
        <w:t xml:space="preserve">we partition each empirical distribution into </w:t>
      </w:r>
      <w:r w:rsidR="002B298C">
        <w:t>5</w:t>
      </w:r>
      <w:r w:rsidR="00DA46E4" w:rsidRPr="0037778F">
        <w:t xml:space="preserve">0 equal-sized bins, </w:t>
      </w:r>
      <m:oMath>
        <m:r>
          <w:rPr>
            <w:rFonts w:ascii="Cambria Math" w:hAnsi="Cambria Math"/>
          </w:rPr>
          <m:t>X</m:t>
        </m:r>
      </m:oMath>
      <w:r w:rsidR="00DA46E4" w:rsidRPr="0037778F">
        <w:t xml:space="preserve">, </w:t>
      </w:r>
      <w:r w:rsidR="0036630E" w:rsidRPr="0037778F">
        <w:t xml:space="preserve">that cover the full range of observed values </w:t>
      </w:r>
      <w:r w:rsidR="00DA46E4" w:rsidRPr="0037778F">
        <w:t xml:space="preserve">and measure the frequency of observations that fall within each, </w:t>
      </w:r>
      <m:oMath>
        <m:r>
          <w:rPr>
            <w:rFonts w:ascii="Cambria Math" w:hAnsi="Cambria Math"/>
          </w:rPr>
          <m:t>P(x)</m:t>
        </m:r>
      </m:oMath>
      <w:r w:rsidR="00DA46E4" w:rsidRPr="0037778F">
        <w:t xml:space="preserve">. Then, we estimate the normal frequency of occurrence for each bin, </w:t>
      </w:r>
      <m:oMath>
        <m:r>
          <w:rPr>
            <w:rFonts w:ascii="Cambria Math" w:hAnsi="Cambria Math"/>
          </w:rPr>
          <m:t>Q(x)</m:t>
        </m:r>
      </m:oMath>
      <w:r w:rsidR="00DA46E4" w:rsidRPr="0037778F">
        <w:t xml:space="preserve">, as the difference in the cumulative distribution function </w:t>
      </w:r>
      <w:r w:rsidR="0037778F">
        <w:t>at</w:t>
      </w:r>
      <w:r w:rsidR="0036630E" w:rsidRPr="0037778F">
        <w:t xml:space="preserve"> the bin’s maximum and minimum values for a normal distribution with the same mean and standard. </w:t>
      </w:r>
      <w:r w:rsidR="00EB5A50" w:rsidRPr="0037778F">
        <w:t>If</w:t>
      </w:r>
      <w:r w:rsidR="0036630E">
        <w:t xml:space="preserve"> the empirical frequency of a bin equals zero, </w:t>
      </w: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=0</m:t>
        </m:r>
      </m:oMath>
      <w:r w:rsidR="0036630E">
        <w:t xml:space="preserve">, we set its corresponding term in Equation </w:t>
      </w:r>
      <w:r w:rsidR="009E5761">
        <w:t>3</w:t>
      </w:r>
      <w:r w:rsidR="0036630E">
        <w:t xml:space="preserve"> to zero.</w:t>
      </w:r>
    </w:p>
  </w:endnote>
  <w:endnote w:id="6">
    <w:p w14:paraId="7005C782" w14:textId="5FACB98D" w:rsidR="00386C1D" w:rsidRDefault="00386C1D">
      <w:pPr>
        <w:pStyle w:val="EndnoteText"/>
      </w:pPr>
      <w:r>
        <w:rPr>
          <w:rStyle w:val="EndnoteReference"/>
        </w:rPr>
        <w:endnoteRef/>
      </w:r>
      <w:r>
        <w:t xml:space="preserve"> </w:t>
      </w:r>
      <w:r w:rsidR="00EB5A50">
        <w:t>To</w:t>
      </w:r>
      <w:r w:rsidR="0037778F">
        <w:t xml:space="preserve"> facilitate visual comparison, we shift and re-scale the distribution of event returns to match the mean and standard deviation of calendar returns. This preserves the shape of the event </w:t>
      </w:r>
      <w:r w:rsidR="00AB3779">
        <w:t>distribution</w:t>
      </w:r>
      <w:r w:rsidR="0037778F">
        <w:t xml:space="preserve"> while allowing for proper comparison with the calendar </w:t>
      </w:r>
      <w:r w:rsidR="00AB3779">
        <w:t>distribution</w:t>
      </w:r>
      <w:r w:rsidR="0037778F">
        <w:t xml:space="preserve">. We define the 5% left tail according to </w:t>
      </w:r>
      <w:r w:rsidR="00AB3779">
        <w:t>a</w:t>
      </w:r>
      <w:r w:rsidR="0037778F">
        <w:t xml:space="preserve"> normal distribution</w:t>
      </w:r>
      <w:r w:rsidR="00AB3779">
        <w:t xml:space="preserve"> with the same mean and standard deviation</w:t>
      </w:r>
      <w:r w:rsidR="0037778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Std">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BB2C" w14:textId="77777777" w:rsidR="009E5761" w:rsidRDefault="009E5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271543"/>
      <w:docPartObj>
        <w:docPartGallery w:val="Page Numbers (Bottom of Page)"/>
        <w:docPartUnique/>
      </w:docPartObj>
    </w:sdtPr>
    <w:sdtEndPr>
      <w:rPr>
        <w:noProof/>
      </w:rPr>
    </w:sdtEndPr>
    <w:sdtContent>
      <w:p w14:paraId="103D4A0B" w14:textId="44863710" w:rsidR="00693CFB" w:rsidRDefault="00693CFB">
        <w:pPr>
          <w:pStyle w:val="Footer"/>
          <w:jc w:val="center"/>
        </w:pPr>
        <w:r>
          <w:fldChar w:fldCharType="begin"/>
        </w:r>
        <w:r>
          <w:instrText xml:space="preserve"> PAGE   \* MERGEFORMAT </w:instrText>
        </w:r>
        <w:r>
          <w:fldChar w:fldCharType="separate"/>
        </w:r>
        <w:r w:rsidR="000D4711">
          <w:rPr>
            <w:noProof/>
          </w:rPr>
          <w:t>17</w:t>
        </w:r>
        <w:r>
          <w:rPr>
            <w:noProof/>
          </w:rPr>
          <w:fldChar w:fldCharType="end"/>
        </w:r>
      </w:p>
    </w:sdtContent>
  </w:sdt>
  <w:p w14:paraId="0386B798" w14:textId="77777777" w:rsidR="00693CFB" w:rsidRDefault="0069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739C" w14:textId="77777777" w:rsidR="009E5761" w:rsidRDefault="009E5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5253" w14:textId="77777777" w:rsidR="00F417F3" w:rsidRDefault="00F417F3" w:rsidP="00372AB0">
      <w:pPr>
        <w:spacing w:after="0" w:line="240" w:lineRule="auto"/>
      </w:pPr>
      <w:r>
        <w:separator/>
      </w:r>
    </w:p>
  </w:footnote>
  <w:footnote w:type="continuationSeparator" w:id="0">
    <w:p w14:paraId="7D215610" w14:textId="77777777" w:rsidR="00F417F3" w:rsidRDefault="00F417F3" w:rsidP="0037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6209" w14:textId="77777777" w:rsidR="009E5761" w:rsidRDefault="009E5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B2F1" w14:textId="77777777" w:rsidR="009E5761" w:rsidRDefault="009E5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918F" w14:textId="77777777" w:rsidR="009E5761" w:rsidRDefault="009E5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242"/>
    <w:multiLevelType w:val="hybridMultilevel"/>
    <w:tmpl w:val="92AE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2D75"/>
    <w:multiLevelType w:val="hybridMultilevel"/>
    <w:tmpl w:val="E462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B3ED1"/>
    <w:multiLevelType w:val="hybridMultilevel"/>
    <w:tmpl w:val="169A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226D0"/>
    <w:multiLevelType w:val="hybridMultilevel"/>
    <w:tmpl w:val="F08CC068"/>
    <w:lvl w:ilvl="0" w:tplc="50CAC34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E6715"/>
    <w:multiLevelType w:val="hybridMultilevel"/>
    <w:tmpl w:val="AC18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65419"/>
    <w:multiLevelType w:val="hybridMultilevel"/>
    <w:tmpl w:val="DE1A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B708C"/>
    <w:multiLevelType w:val="hybridMultilevel"/>
    <w:tmpl w:val="D48ED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F0FD4"/>
    <w:multiLevelType w:val="hybridMultilevel"/>
    <w:tmpl w:val="D0B8B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F4D47"/>
    <w:multiLevelType w:val="hybridMultilevel"/>
    <w:tmpl w:val="E5EE9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944FB3"/>
    <w:multiLevelType w:val="hybridMultilevel"/>
    <w:tmpl w:val="6810A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BE02E8"/>
    <w:multiLevelType w:val="hybridMultilevel"/>
    <w:tmpl w:val="15582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263D"/>
    <w:multiLevelType w:val="hybridMultilevel"/>
    <w:tmpl w:val="373C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E5BFE"/>
    <w:multiLevelType w:val="hybridMultilevel"/>
    <w:tmpl w:val="E3BC69D8"/>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3" w15:restartNumberingAfterBreak="0">
    <w:nsid w:val="488A11B7"/>
    <w:multiLevelType w:val="hybridMultilevel"/>
    <w:tmpl w:val="8146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0758B"/>
    <w:multiLevelType w:val="hybridMultilevel"/>
    <w:tmpl w:val="7E5AC33C"/>
    <w:lvl w:ilvl="0" w:tplc="B1046A6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D7FBC"/>
    <w:multiLevelType w:val="hybridMultilevel"/>
    <w:tmpl w:val="5C6AD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1E35A4"/>
    <w:multiLevelType w:val="hybridMultilevel"/>
    <w:tmpl w:val="5A0CD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D7961"/>
    <w:multiLevelType w:val="hybridMultilevel"/>
    <w:tmpl w:val="A756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9654632">
    <w:abstractNumId w:val="16"/>
  </w:num>
  <w:num w:numId="2" w16cid:durableId="485248989">
    <w:abstractNumId w:val="6"/>
  </w:num>
  <w:num w:numId="3" w16cid:durableId="1513104024">
    <w:abstractNumId w:val="10"/>
  </w:num>
  <w:num w:numId="4" w16cid:durableId="1479346181">
    <w:abstractNumId w:val="9"/>
  </w:num>
  <w:num w:numId="5" w16cid:durableId="715279637">
    <w:abstractNumId w:val="8"/>
  </w:num>
  <w:num w:numId="6" w16cid:durableId="139001922">
    <w:abstractNumId w:val="17"/>
  </w:num>
  <w:num w:numId="7" w16cid:durableId="284699757">
    <w:abstractNumId w:val="11"/>
  </w:num>
  <w:num w:numId="8" w16cid:durableId="603418112">
    <w:abstractNumId w:val="5"/>
  </w:num>
  <w:num w:numId="9" w16cid:durableId="1234195502">
    <w:abstractNumId w:val="12"/>
  </w:num>
  <w:num w:numId="10" w16cid:durableId="1166942589">
    <w:abstractNumId w:val="4"/>
  </w:num>
  <w:num w:numId="11" w16cid:durableId="619069515">
    <w:abstractNumId w:val="13"/>
  </w:num>
  <w:num w:numId="12" w16cid:durableId="723413875">
    <w:abstractNumId w:val="7"/>
  </w:num>
  <w:num w:numId="13" w16cid:durableId="1323852031">
    <w:abstractNumId w:val="3"/>
  </w:num>
  <w:num w:numId="14" w16cid:durableId="955985004">
    <w:abstractNumId w:val="14"/>
  </w:num>
  <w:num w:numId="15" w16cid:durableId="1416514498">
    <w:abstractNumId w:val="2"/>
  </w:num>
  <w:num w:numId="16" w16cid:durableId="1888103148">
    <w:abstractNumId w:val="1"/>
  </w:num>
  <w:num w:numId="17" w16cid:durableId="1517842771">
    <w:abstractNumId w:val="0"/>
  </w:num>
  <w:num w:numId="18" w16cid:durableId="918367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54"/>
    <w:rsid w:val="00003753"/>
    <w:rsid w:val="00004E9F"/>
    <w:rsid w:val="00005257"/>
    <w:rsid w:val="00007318"/>
    <w:rsid w:val="000130B6"/>
    <w:rsid w:val="00013587"/>
    <w:rsid w:val="00015085"/>
    <w:rsid w:val="000159E2"/>
    <w:rsid w:val="0001769D"/>
    <w:rsid w:val="000203B8"/>
    <w:rsid w:val="00021993"/>
    <w:rsid w:val="00021B35"/>
    <w:rsid w:val="00027912"/>
    <w:rsid w:val="00030F8D"/>
    <w:rsid w:val="00032206"/>
    <w:rsid w:val="00035330"/>
    <w:rsid w:val="0003671D"/>
    <w:rsid w:val="00036F62"/>
    <w:rsid w:val="000408AA"/>
    <w:rsid w:val="0004315A"/>
    <w:rsid w:val="0005094A"/>
    <w:rsid w:val="00050D30"/>
    <w:rsid w:val="0005204C"/>
    <w:rsid w:val="000543A0"/>
    <w:rsid w:val="00064EB8"/>
    <w:rsid w:val="00073620"/>
    <w:rsid w:val="0007422B"/>
    <w:rsid w:val="00075BA8"/>
    <w:rsid w:val="00077BA0"/>
    <w:rsid w:val="000820B3"/>
    <w:rsid w:val="000849F3"/>
    <w:rsid w:val="00087459"/>
    <w:rsid w:val="00091A72"/>
    <w:rsid w:val="000930CD"/>
    <w:rsid w:val="00093BD2"/>
    <w:rsid w:val="000A01DC"/>
    <w:rsid w:val="000A262D"/>
    <w:rsid w:val="000A3B5B"/>
    <w:rsid w:val="000A663C"/>
    <w:rsid w:val="000B0725"/>
    <w:rsid w:val="000B7D81"/>
    <w:rsid w:val="000C2869"/>
    <w:rsid w:val="000C6111"/>
    <w:rsid w:val="000C6F5E"/>
    <w:rsid w:val="000D1A97"/>
    <w:rsid w:val="000D2078"/>
    <w:rsid w:val="000D4711"/>
    <w:rsid w:val="000D471E"/>
    <w:rsid w:val="000D4C46"/>
    <w:rsid w:val="000E03B2"/>
    <w:rsid w:val="000E1267"/>
    <w:rsid w:val="000E1A87"/>
    <w:rsid w:val="000E1E93"/>
    <w:rsid w:val="000F23A3"/>
    <w:rsid w:val="000F2D83"/>
    <w:rsid w:val="000F47E5"/>
    <w:rsid w:val="00100BBD"/>
    <w:rsid w:val="00103555"/>
    <w:rsid w:val="00103FC8"/>
    <w:rsid w:val="00112D9B"/>
    <w:rsid w:val="0011373E"/>
    <w:rsid w:val="00120595"/>
    <w:rsid w:val="00120A6E"/>
    <w:rsid w:val="00125B2A"/>
    <w:rsid w:val="00134044"/>
    <w:rsid w:val="00134BA4"/>
    <w:rsid w:val="00140EB1"/>
    <w:rsid w:val="00152C0C"/>
    <w:rsid w:val="0015493C"/>
    <w:rsid w:val="00156B7B"/>
    <w:rsid w:val="001570E9"/>
    <w:rsid w:val="001601DB"/>
    <w:rsid w:val="00160900"/>
    <w:rsid w:val="00160F03"/>
    <w:rsid w:val="00161004"/>
    <w:rsid w:val="00164BD2"/>
    <w:rsid w:val="001702CB"/>
    <w:rsid w:val="00170557"/>
    <w:rsid w:val="0017132D"/>
    <w:rsid w:val="00171DF5"/>
    <w:rsid w:val="00175C31"/>
    <w:rsid w:val="0017631B"/>
    <w:rsid w:val="00177329"/>
    <w:rsid w:val="00180092"/>
    <w:rsid w:val="00182981"/>
    <w:rsid w:val="001862C8"/>
    <w:rsid w:val="0019554C"/>
    <w:rsid w:val="001972D1"/>
    <w:rsid w:val="001A040C"/>
    <w:rsid w:val="001A0EDE"/>
    <w:rsid w:val="001A716A"/>
    <w:rsid w:val="001B1E1E"/>
    <w:rsid w:val="001B3D90"/>
    <w:rsid w:val="001B4CF9"/>
    <w:rsid w:val="001C2D9F"/>
    <w:rsid w:val="001C4B0B"/>
    <w:rsid w:val="001C53BA"/>
    <w:rsid w:val="001C781B"/>
    <w:rsid w:val="001D0614"/>
    <w:rsid w:val="001D2593"/>
    <w:rsid w:val="001D54C5"/>
    <w:rsid w:val="001D6B35"/>
    <w:rsid w:val="001E4882"/>
    <w:rsid w:val="001E7A55"/>
    <w:rsid w:val="001F2209"/>
    <w:rsid w:val="001F24A2"/>
    <w:rsid w:val="001F3B8B"/>
    <w:rsid w:val="001F4798"/>
    <w:rsid w:val="001F58AD"/>
    <w:rsid w:val="001F64DD"/>
    <w:rsid w:val="001F7225"/>
    <w:rsid w:val="00200977"/>
    <w:rsid w:val="00203BB8"/>
    <w:rsid w:val="00203D5C"/>
    <w:rsid w:val="0020412D"/>
    <w:rsid w:val="0020445E"/>
    <w:rsid w:val="00204728"/>
    <w:rsid w:val="00207055"/>
    <w:rsid w:val="00207F9C"/>
    <w:rsid w:val="0021200B"/>
    <w:rsid w:val="002148F9"/>
    <w:rsid w:val="00220B22"/>
    <w:rsid w:val="00221FBB"/>
    <w:rsid w:val="0022274E"/>
    <w:rsid w:val="00223809"/>
    <w:rsid w:val="00223B06"/>
    <w:rsid w:val="0022414F"/>
    <w:rsid w:val="002275F6"/>
    <w:rsid w:val="00230D3E"/>
    <w:rsid w:val="0023147C"/>
    <w:rsid w:val="002342C5"/>
    <w:rsid w:val="00234933"/>
    <w:rsid w:val="00242AFA"/>
    <w:rsid w:val="00247666"/>
    <w:rsid w:val="002507B2"/>
    <w:rsid w:val="00262503"/>
    <w:rsid w:val="0026544C"/>
    <w:rsid w:val="00265F15"/>
    <w:rsid w:val="002669ED"/>
    <w:rsid w:val="00267BBE"/>
    <w:rsid w:val="002703EA"/>
    <w:rsid w:val="00271896"/>
    <w:rsid w:val="00272AD8"/>
    <w:rsid w:val="002733C8"/>
    <w:rsid w:val="00274D1E"/>
    <w:rsid w:val="00275018"/>
    <w:rsid w:val="002750CD"/>
    <w:rsid w:val="00275AA1"/>
    <w:rsid w:val="00276548"/>
    <w:rsid w:val="00280466"/>
    <w:rsid w:val="00281272"/>
    <w:rsid w:val="00281B3F"/>
    <w:rsid w:val="002848CE"/>
    <w:rsid w:val="00284CB3"/>
    <w:rsid w:val="002900ED"/>
    <w:rsid w:val="002949A8"/>
    <w:rsid w:val="0029729D"/>
    <w:rsid w:val="002A0F56"/>
    <w:rsid w:val="002A3A68"/>
    <w:rsid w:val="002A69AE"/>
    <w:rsid w:val="002B298C"/>
    <w:rsid w:val="002B3A71"/>
    <w:rsid w:val="002B3C58"/>
    <w:rsid w:val="002B463B"/>
    <w:rsid w:val="002B4B77"/>
    <w:rsid w:val="002B6A9B"/>
    <w:rsid w:val="002C36DE"/>
    <w:rsid w:val="002D26FA"/>
    <w:rsid w:val="002D31A3"/>
    <w:rsid w:val="002D3B70"/>
    <w:rsid w:val="002D46CF"/>
    <w:rsid w:val="002D67A0"/>
    <w:rsid w:val="002D7C82"/>
    <w:rsid w:val="002E0155"/>
    <w:rsid w:val="002E0B42"/>
    <w:rsid w:val="002E2F79"/>
    <w:rsid w:val="002E584E"/>
    <w:rsid w:val="002F1A13"/>
    <w:rsid w:val="002F2923"/>
    <w:rsid w:val="002F3C20"/>
    <w:rsid w:val="002F3C8D"/>
    <w:rsid w:val="002F50FC"/>
    <w:rsid w:val="002F59BF"/>
    <w:rsid w:val="002F6529"/>
    <w:rsid w:val="002F6BCE"/>
    <w:rsid w:val="002F75F7"/>
    <w:rsid w:val="003014EF"/>
    <w:rsid w:val="003040F4"/>
    <w:rsid w:val="00304AC9"/>
    <w:rsid w:val="00310CD0"/>
    <w:rsid w:val="00311793"/>
    <w:rsid w:val="00316F30"/>
    <w:rsid w:val="0032251A"/>
    <w:rsid w:val="0032332F"/>
    <w:rsid w:val="00327EBD"/>
    <w:rsid w:val="00330C8E"/>
    <w:rsid w:val="00332E92"/>
    <w:rsid w:val="0033412E"/>
    <w:rsid w:val="0033498E"/>
    <w:rsid w:val="00335C36"/>
    <w:rsid w:val="0033646D"/>
    <w:rsid w:val="00337D31"/>
    <w:rsid w:val="00350012"/>
    <w:rsid w:val="0035067C"/>
    <w:rsid w:val="003506F0"/>
    <w:rsid w:val="003542F3"/>
    <w:rsid w:val="0036113B"/>
    <w:rsid w:val="00362F89"/>
    <w:rsid w:val="0036547C"/>
    <w:rsid w:val="00365603"/>
    <w:rsid w:val="00365AD1"/>
    <w:rsid w:val="0036630E"/>
    <w:rsid w:val="003673F8"/>
    <w:rsid w:val="0036782E"/>
    <w:rsid w:val="00370234"/>
    <w:rsid w:val="00371764"/>
    <w:rsid w:val="00371CCB"/>
    <w:rsid w:val="00372AB0"/>
    <w:rsid w:val="00374AFC"/>
    <w:rsid w:val="00374B50"/>
    <w:rsid w:val="00375502"/>
    <w:rsid w:val="00376D90"/>
    <w:rsid w:val="0037778F"/>
    <w:rsid w:val="0038573D"/>
    <w:rsid w:val="00386C1D"/>
    <w:rsid w:val="00387CEA"/>
    <w:rsid w:val="00387D87"/>
    <w:rsid w:val="003904B2"/>
    <w:rsid w:val="003938D9"/>
    <w:rsid w:val="003961D2"/>
    <w:rsid w:val="00396725"/>
    <w:rsid w:val="0039715E"/>
    <w:rsid w:val="003A4A13"/>
    <w:rsid w:val="003B2A82"/>
    <w:rsid w:val="003B3D33"/>
    <w:rsid w:val="003B7415"/>
    <w:rsid w:val="003C1BE5"/>
    <w:rsid w:val="003C1DD9"/>
    <w:rsid w:val="003D0A69"/>
    <w:rsid w:val="003D1426"/>
    <w:rsid w:val="003D3255"/>
    <w:rsid w:val="003D7A5F"/>
    <w:rsid w:val="003E265D"/>
    <w:rsid w:val="003E5E00"/>
    <w:rsid w:val="003E7192"/>
    <w:rsid w:val="003F0BE4"/>
    <w:rsid w:val="003F349A"/>
    <w:rsid w:val="003F450A"/>
    <w:rsid w:val="003F6AAA"/>
    <w:rsid w:val="00401D6F"/>
    <w:rsid w:val="00402A66"/>
    <w:rsid w:val="00404774"/>
    <w:rsid w:val="004068FB"/>
    <w:rsid w:val="00411E5B"/>
    <w:rsid w:val="004169F8"/>
    <w:rsid w:val="00416C54"/>
    <w:rsid w:val="00417E16"/>
    <w:rsid w:val="004208A1"/>
    <w:rsid w:val="00420B56"/>
    <w:rsid w:val="00421D81"/>
    <w:rsid w:val="00423224"/>
    <w:rsid w:val="00425928"/>
    <w:rsid w:val="00431D79"/>
    <w:rsid w:val="0043213C"/>
    <w:rsid w:val="00435BAD"/>
    <w:rsid w:val="0043769F"/>
    <w:rsid w:val="00442EF3"/>
    <w:rsid w:val="00443DB3"/>
    <w:rsid w:val="00444933"/>
    <w:rsid w:val="004479D8"/>
    <w:rsid w:val="0045163A"/>
    <w:rsid w:val="00456D1D"/>
    <w:rsid w:val="0046007B"/>
    <w:rsid w:val="00464D3E"/>
    <w:rsid w:val="00465779"/>
    <w:rsid w:val="004711BA"/>
    <w:rsid w:val="004713F9"/>
    <w:rsid w:val="00473978"/>
    <w:rsid w:val="004766CC"/>
    <w:rsid w:val="004776FB"/>
    <w:rsid w:val="00482C30"/>
    <w:rsid w:val="0048449D"/>
    <w:rsid w:val="00484E33"/>
    <w:rsid w:val="00494380"/>
    <w:rsid w:val="00494406"/>
    <w:rsid w:val="0049612C"/>
    <w:rsid w:val="00497289"/>
    <w:rsid w:val="00497A86"/>
    <w:rsid w:val="004A08C6"/>
    <w:rsid w:val="004A436A"/>
    <w:rsid w:val="004A7D94"/>
    <w:rsid w:val="004B249D"/>
    <w:rsid w:val="004B5B96"/>
    <w:rsid w:val="004B68A4"/>
    <w:rsid w:val="004C23FC"/>
    <w:rsid w:val="004C7AEE"/>
    <w:rsid w:val="004C7BF8"/>
    <w:rsid w:val="004D28A3"/>
    <w:rsid w:val="004E05ED"/>
    <w:rsid w:val="004E28A3"/>
    <w:rsid w:val="004E4E62"/>
    <w:rsid w:val="004E4F0B"/>
    <w:rsid w:val="004E5BF6"/>
    <w:rsid w:val="004E6D18"/>
    <w:rsid w:val="004F554B"/>
    <w:rsid w:val="004F6F2B"/>
    <w:rsid w:val="0050293D"/>
    <w:rsid w:val="00503A42"/>
    <w:rsid w:val="005075B3"/>
    <w:rsid w:val="00507C3E"/>
    <w:rsid w:val="00507F33"/>
    <w:rsid w:val="0051243C"/>
    <w:rsid w:val="00512B0A"/>
    <w:rsid w:val="00515A1C"/>
    <w:rsid w:val="00517330"/>
    <w:rsid w:val="00521170"/>
    <w:rsid w:val="005234A6"/>
    <w:rsid w:val="00523F06"/>
    <w:rsid w:val="0052600D"/>
    <w:rsid w:val="005260DB"/>
    <w:rsid w:val="00531513"/>
    <w:rsid w:val="005425EF"/>
    <w:rsid w:val="005468A2"/>
    <w:rsid w:val="00547F17"/>
    <w:rsid w:val="00550DF3"/>
    <w:rsid w:val="00556F79"/>
    <w:rsid w:val="005605A9"/>
    <w:rsid w:val="00561158"/>
    <w:rsid w:val="00561870"/>
    <w:rsid w:val="005632FA"/>
    <w:rsid w:val="005646EF"/>
    <w:rsid w:val="00564D22"/>
    <w:rsid w:val="00564DAD"/>
    <w:rsid w:val="00567507"/>
    <w:rsid w:val="005675C0"/>
    <w:rsid w:val="0057013B"/>
    <w:rsid w:val="00573BB6"/>
    <w:rsid w:val="00574AFF"/>
    <w:rsid w:val="00575C5C"/>
    <w:rsid w:val="005809C0"/>
    <w:rsid w:val="0058216E"/>
    <w:rsid w:val="00582395"/>
    <w:rsid w:val="00583DAB"/>
    <w:rsid w:val="00586FF8"/>
    <w:rsid w:val="0058785D"/>
    <w:rsid w:val="00593B51"/>
    <w:rsid w:val="0059532E"/>
    <w:rsid w:val="00596CA7"/>
    <w:rsid w:val="00597D9D"/>
    <w:rsid w:val="005A3EA3"/>
    <w:rsid w:val="005A5FE0"/>
    <w:rsid w:val="005B115C"/>
    <w:rsid w:val="005B6D7F"/>
    <w:rsid w:val="005B6DA2"/>
    <w:rsid w:val="005B6E4A"/>
    <w:rsid w:val="005C020F"/>
    <w:rsid w:val="005C0B7F"/>
    <w:rsid w:val="005C1053"/>
    <w:rsid w:val="005C1C8B"/>
    <w:rsid w:val="005C1E57"/>
    <w:rsid w:val="005C2D3B"/>
    <w:rsid w:val="005C4A5E"/>
    <w:rsid w:val="005C4B09"/>
    <w:rsid w:val="005C79C7"/>
    <w:rsid w:val="005D0357"/>
    <w:rsid w:val="005D0F2C"/>
    <w:rsid w:val="005D251D"/>
    <w:rsid w:val="005D6541"/>
    <w:rsid w:val="005D74BF"/>
    <w:rsid w:val="005E1C91"/>
    <w:rsid w:val="005E7CC4"/>
    <w:rsid w:val="005F41CB"/>
    <w:rsid w:val="005F63B2"/>
    <w:rsid w:val="005F68BC"/>
    <w:rsid w:val="00602F30"/>
    <w:rsid w:val="00604472"/>
    <w:rsid w:val="006057B0"/>
    <w:rsid w:val="0060654C"/>
    <w:rsid w:val="00607DDD"/>
    <w:rsid w:val="0061199C"/>
    <w:rsid w:val="006122A2"/>
    <w:rsid w:val="006137A2"/>
    <w:rsid w:val="00614076"/>
    <w:rsid w:val="00615435"/>
    <w:rsid w:val="00615C10"/>
    <w:rsid w:val="006216CA"/>
    <w:rsid w:val="00621D6E"/>
    <w:rsid w:val="006222C2"/>
    <w:rsid w:val="00622568"/>
    <w:rsid w:val="006268E1"/>
    <w:rsid w:val="006326F9"/>
    <w:rsid w:val="00642521"/>
    <w:rsid w:val="00644383"/>
    <w:rsid w:val="00645AD8"/>
    <w:rsid w:val="00650F5A"/>
    <w:rsid w:val="00651A08"/>
    <w:rsid w:val="006527EB"/>
    <w:rsid w:val="00654688"/>
    <w:rsid w:val="0065470E"/>
    <w:rsid w:val="00655FDC"/>
    <w:rsid w:val="00656A83"/>
    <w:rsid w:val="00661BE8"/>
    <w:rsid w:val="00661E3A"/>
    <w:rsid w:val="00662E1D"/>
    <w:rsid w:val="00663417"/>
    <w:rsid w:val="00665DDC"/>
    <w:rsid w:val="006673A0"/>
    <w:rsid w:val="00667612"/>
    <w:rsid w:val="006701AF"/>
    <w:rsid w:val="0067245F"/>
    <w:rsid w:val="006731FC"/>
    <w:rsid w:val="00674FB4"/>
    <w:rsid w:val="00676143"/>
    <w:rsid w:val="00681366"/>
    <w:rsid w:val="006876B4"/>
    <w:rsid w:val="00687967"/>
    <w:rsid w:val="006927C8"/>
    <w:rsid w:val="00692DCB"/>
    <w:rsid w:val="00693CFB"/>
    <w:rsid w:val="00695F38"/>
    <w:rsid w:val="006969E8"/>
    <w:rsid w:val="00696F96"/>
    <w:rsid w:val="006A4CE1"/>
    <w:rsid w:val="006B0DC3"/>
    <w:rsid w:val="006B36BD"/>
    <w:rsid w:val="006B4F52"/>
    <w:rsid w:val="006B6A82"/>
    <w:rsid w:val="006C3763"/>
    <w:rsid w:val="006D1650"/>
    <w:rsid w:val="006D5099"/>
    <w:rsid w:val="006D56EA"/>
    <w:rsid w:val="006D5CAD"/>
    <w:rsid w:val="006E18D8"/>
    <w:rsid w:val="006E47B9"/>
    <w:rsid w:val="006E50D8"/>
    <w:rsid w:val="006E6D86"/>
    <w:rsid w:val="006F5056"/>
    <w:rsid w:val="006F5284"/>
    <w:rsid w:val="007010B7"/>
    <w:rsid w:val="007011A0"/>
    <w:rsid w:val="007062A9"/>
    <w:rsid w:val="00707248"/>
    <w:rsid w:val="007078B2"/>
    <w:rsid w:val="00707D7E"/>
    <w:rsid w:val="00710FB6"/>
    <w:rsid w:val="007123B5"/>
    <w:rsid w:val="00712DA6"/>
    <w:rsid w:val="007153AB"/>
    <w:rsid w:val="007213EE"/>
    <w:rsid w:val="0072228D"/>
    <w:rsid w:val="00722675"/>
    <w:rsid w:val="00722CB3"/>
    <w:rsid w:val="007232B3"/>
    <w:rsid w:val="00723609"/>
    <w:rsid w:val="007256DC"/>
    <w:rsid w:val="007267BF"/>
    <w:rsid w:val="00726CA4"/>
    <w:rsid w:val="00726E97"/>
    <w:rsid w:val="00726ED9"/>
    <w:rsid w:val="0073566F"/>
    <w:rsid w:val="007426FE"/>
    <w:rsid w:val="00745424"/>
    <w:rsid w:val="007457DD"/>
    <w:rsid w:val="00745F6E"/>
    <w:rsid w:val="00750A38"/>
    <w:rsid w:val="00750B6F"/>
    <w:rsid w:val="00753B2B"/>
    <w:rsid w:val="00753BA1"/>
    <w:rsid w:val="00757278"/>
    <w:rsid w:val="00760BD4"/>
    <w:rsid w:val="00763F04"/>
    <w:rsid w:val="00767E0C"/>
    <w:rsid w:val="00770F9F"/>
    <w:rsid w:val="00774730"/>
    <w:rsid w:val="00775FDF"/>
    <w:rsid w:val="00777963"/>
    <w:rsid w:val="00777D0C"/>
    <w:rsid w:val="00781534"/>
    <w:rsid w:val="007841AB"/>
    <w:rsid w:val="00785A97"/>
    <w:rsid w:val="0078771F"/>
    <w:rsid w:val="00794ACE"/>
    <w:rsid w:val="00795C3E"/>
    <w:rsid w:val="00796A4C"/>
    <w:rsid w:val="007A0099"/>
    <w:rsid w:val="007A0A20"/>
    <w:rsid w:val="007A2B67"/>
    <w:rsid w:val="007A721C"/>
    <w:rsid w:val="007B0C55"/>
    <w:rsid w:val="007B2570"/>
    <w:rsid w:val="007B3C36"/>
    <w:rsid w:val="007B4641"/>
    <w:rsid w:val="007B641A"/>
    <w:rsid w:val="007C41E4"/>
    <w:rsid w:val="007C4E78"/>
    <w:rsid w:val="007D486C"/>
    <w:rsid w:val="007D658A"/>
    <w:rsid w:val="007E5AD7"/>
    <w:rsid w:val="007E6617"/>
    <w:rsid w:val="007E7344"/>
    <w:rsid w:val="007E7746"/>
    <w:rsid w:val="007F2811"/>
    <w:rsid w:val="007F291F"/>
    <w:rsid w:val="007F308A"/>
    <w:rsid w:val="007F5500"/>
    <w:rsid w:val="007F6B3A"/>
    <w:rsid w:val="007F6F0B"/>
    <w:rsid w:val="00800218"/>
    <w:rsid w:val="00800EDE"/>
    <w:rsid w:val="00802B25"/>
    <w:rsid w:val="008030FF"/>
    <w:rsid w:val="00804FFC"/>
    <w:rsid w:val="008052CF"/>
    <w:rsid w:val="0080564A"/>
    <w:rsid w:val="00805E8B"/>
    <w:rsid w:val="00814E5D"/>
    <w:rsid w:val="00817CA9"/>
    <w:rsid w:val="0082278E"/>
    <w:rsid w:val="00822FED"/>
    <w:rsid w:val="00823B26"/>
    <w:rsid w:val="00823EAB"/>
    <w:rsid w:val="008251B6"/>
    <w:rsid w:val="00825CD8"/>
    <w:rsid w:val="00826755"/>
    <w:rsid w:val="0083066E"/>
    <w:rsid w:val="00830A61"/>
    <w:rsid w:val="008341F1"/>
    <w:rsid w:val="00835338"/>
    <w:rsid w:val="00837C6B"/>
    <w:rsid w:val="00845C8C"/>
    <w:rsid w:val="00850F6E"/>
    <w:rsid w:val="008526B2"/>
    <w:rsid w:val="008532EE"/>
    <w:rsid w:val="00856ED4"/>
    <w:rsid w:val="0086717E"/>
    <w:rsid w:val="00870747"/>
    <w:rsid w:val="00871E9C"/>
    <w:rsid w:val="00876A05"/>
    <w:rsid w:val="008774FB"/>
    <w:rsid w:val="00881EB3"/>
    <w:rsid w:val="00882362"/>
    <w:rsid w:val="008830D0"/>
    <w:rsid w:val="008909B7"/>
    <w:rsid w:val="008A2993"/>
    <w:rsid w:val="008A2C04"/>
    <w:rsid w:val="008A3CFA"/>
    <w:rsid w:val="008A4AE6"/>
    <w:rsid w:val="008A51FE"/>
    <w:rsid w:val="008A616C"/>
    <w:rsid w:val="008A7BD8"/>
    <w:rsid w:val="008A7CC7"/>
    <w:rsid w:val="008B054E"/>
    <w:rsid w:val="008B190B"/>
    <w:rsid w:val="008B64C8"/>
    <w:rsid w:val="008B6B51"/>
    <w:rsid w:val="008B6ED2"/>
    <w:rsid w:val="008C3775"/>
    <w:rsid w:val="008C3F34"/>
    <w:rsid w:val="008C65A5"/>
    <w:rsid w:val="008C7916"/>
    <w:rsid w:val="008D0D7D"/>
    <w:rsid w:val="008D3B51"/>
    <w:rsid w:val="008E00EF"/>
    <w:rsid w:val="008E03B7"/>
    <w:rsid w:val="008E2182"/>
    <w:rsid w:val="008E27A5"/>
    <w:rsid w:val="008E3C32"/>
    <w:rsid w:val="008E4BF5"/>
    <w:rsid w:val="008F131C"/>
    <w:rsid w:val="008F20C5"/>
    <w:rsid w:val="008F2AD1"/>
    <w:rsid w:val="008F2BE2"/>
    <w:rsid w:val="008F353C"/>
    <w:rsid w:val="008F49A4"/>
    <w:rsid w:val="008F734A"/>
    <w:rsid w:val="008F750B"/>
    <w:rsid w:val="00904183"/>
    <w:rsid w:val="00904B96"/>
    <w:rsid w:val="00904E73"/>
    <w:rsid w:val="0090661C"/>
    <w:rsid w:val="009130DC"/>
    <w:rsid w:val="009141BE"/>
    <w:rsid w:val="009151D1"/>
    <w:rsid w:val="00915D10"/>
    <w:rsid w:val="0091733B"/>
    <w:rsid w:val="0092065D"/>
    <w:rsid w:val="00923B56"/>
    <w:rsid w:val="00923F85"/>
    <w:rsid w:val="009306C6"/>
    <w:rsid w:val="00931764"/>
    <w:rsid w:val="009329E2"/>
    <w:rsid w:val="00933CB0"/>
    <w:rsid w:val="00934814"/>
    <w:rsid w:val="00936FC7"/>
    <w:rsid w:val="009377D1"/>
    <w:rsid w:val="00940220"/>
    <w:rsid w:val="009423DE"/>
    <w:rsid w:val="009427DE"/>
    <w:rsid w:val="00943059"/>
    <w:rsid w:val="00943CCE"/>
    <w:rsid w:val="0094402F"/>
    <w:rsid w:val="00944122"/>
    <w:rsid w:val="00944A8A"/>
    <w:rsid w:val="0094604F"/>
    <w:rsid w:val="0094686A"/>
    <w:rsid w:val="00947B3A"/>
    <w:rsid w:val="00947EC1"/>
    <w:rsid w:val="009502C2"/>
    <w:rsid w:val="00951284"/>
    <w:rsid w:val="009513A0"/>
    <w:rsid w:val="00951C83"/>
    <w:rsid w:val="009538BD"/>
    <w:rsid w:val="0095605D"/>
    <w:rsid w:val="00956626"/>
    <w:rsid w:val="00957D6B"/>
    <w:rsid w:val="0096412D"/>
    <w:rsid w:val="009675A5"/>
    <w:rsid w:val="0096766B"/>
    <w:rsid w:val="00970C3F"/>
    <w:rsid w:val="00972FF2"/>
    <w:rsid w:val="00974580"/>
    <w:rsid w:val="00980209"/>
    <w:rsid w:val="0098041A"/>
    <w:rsid w:val="00983C40"/>
    <w:rsid w:val="00985647"/>
    <w:rsid w:val="00991475"/>
    <w:rsid w:val="00997330"/>
    <w:rsid w:val="009A0621"/>
    <w:rsid w:val="009A0825"/>
    <w:rsid w:val="009A0F2B"/>
    <w:rsid w:val="009A665C"/>
    <w:rsid w:val="009B6076"/>
    <w:rsid w:val="009B63E9"/>
    <w:rsid w:val="009B7868"/>
    <w:rsid w:val="009C01C9"/>
    <w:rsid w:val="009C1514"/>
    <w:rsid w:val="009C193C"/>
    <w:rsid w:val="009C2795"/>
    <w:rsid w:val="009C3665"/>
    <w:rsid w:val="009C49E8"/>
    <w:rsid w:val="009C62C9"/>
    <w:rsid w:val="009C64C5"/>
    <w:rsid w:val="009D1AC4"/>
    <w:rsid w:val="009D33E8"/>
    <w:rsid w:val="009D34DE"/>
    <w:rsid w:val="009D68CD"/>
    <w:rsid w:val="009D772F"/>
    <w:rsid w:val="009E0E9E"/>
    <w:rsid w:val="009E292A"/>
    <w:rsid w:val="009E2EE8"/>
    <w:rsid w:val="009E316A"/>
    <w:rsid w:val="009E428A"/>
    <w:rsid w:val="009E5761"/>
    <w:rsid w:val="009E664A"/>
    <w:rsid w:val="009F1122"/>
    <w:rsid w:val="009F4E3D"/>
    <w:rsid w:val="009F5E89"/>
    <w:rsid w:val="009F6879"/>
    <w:rsid w:val="009F6E4C"/>
    <w:rsid w:val="009F7947"/>
    <w:rsid w:val="00A00FA5"/>
    <w:rsid w:val="00A01DA1"/>
    <w:rsid w:val="00A064D3"/>
    <w:rsid w:val="00A10C92"/>
    <w:rsid w:val="00A12C31"/>
    <w:rsid w:val="00A16857"/>
    <w:rsid w:val="00A22E5D"/>
    <w:rsid w:val="00A24CBB"/>
    <w:rsid w:val="00A26056"/>
    <w:rsid w:val="00A27C04"/>
    <w:rsid w:val="00A302F0"/>
    <w:rsid w:val="00A44733"/>
    <w:rsid w:val="00A45704"/>
    <w:rsid w:val="00A45795"/>
    <w:rsid w:val="00A45858"/>
    <w:rsid w:val="00A461FE"/>
    <w:rsid w:val="00A46DA8"/>
    <w:rsid w:val="00A472A8"/>
    <w:rsid w:val="00A50159"/>
    <w:rsid w:val="00A509B0"/>
    <w:rsid w:val="00A52C12"/>
    <w:rsid w:val="00A53716"/>
    <w:rsid w:val="00A557E2"/>
    <w:rsid w:val="00A56140"/>
    <w:rsid w:val="00A639C3"/>
    <w:rsid w:val="00A643F3"/>
    <w:rsid w:val="00A6708B"/>
    <w:rsid w:val="00A704DF"/>
    <w:rsid w:val="00A709C7"/>
    <w:rsid w:val="00A71A2F"/>
    <w:rsid w:val="00A71BE3"/>
    <w:rsid w:val="00A72A2B"/>
    <w:rsid w:val="00A72E80"/>
    <w:rsid w:val="00A75758"/>
    <w:rsid w:val="00A75F38"/>
    <w:rsid w:val="00A7667E"/>
    <w:rsid w:val="00A81EDE"/>
    <w:rsid w:val="00A82929"/>
    <w:rsid w:val="00A8576E"/>
    <w:rsid w:val="00A911B3"/>
    <w:rsid w:val="00A91895"/>
    <w:rsid w:val="00A943A3"/>
    <w:rsid w:val="00A962C6"/>
    <w:rsid w:val="00A96580"/>
    <w:rsid w:val="00AA0CD2"/>
    <w:rsid w:val="00AA4B02"/>
    <w:rsid w:val="00AA4F92"/>
    <w:rsid w:val="00AA7838"/>
    <w:rsid w:val="00AA7BB4"/>
    <w:rsid w:val="00AB3779"/>
    <w:rsid w:val="00AB3C9F"/>
    <w:rsid w:val="00AB4AF4"/>
    <w:rsid w:val="00AB64D3"/>
    <w:rsid w:val="00AB6E8D"/>
    <w:rsid w:val="00AC017B"/>
    <w:rsid w:val="00AC0292"/>
    <w:rsid w:val="00AC076D"/>
    <w:rsid w:val="00AC1281"/>
    <w:rsid w:val="00AC185E"/>
    <w:rsid w:val="00AC2635"/>
    <w:rsid w:val="00AC736A"/>
    <w:rsid w:val="00AC7FEF"/>
    <w:rsid w:val="00AD09A8"/>
    <w:rsid w:val="00AD3CD2"/>
    <w:rsid w:val="00AE3CBA"/>
    <w:rsid w:val="00AE4979"/>
    <w:rsid w:val="00AE5E3A"/>
    <w:rsid w:val="00AF3A33"/>
    <w:rsid w:val="00AF6EFB"/>
    <w:rsid w:val="00B02864"/>
    <w:rsid w:val="00B05164"/>
    <w:rsid w:val="00B10B32"/>
    <w:rsid w:val="00B10DAE"/>
    <w:rsid w:val="00B1105A"/>
    <w:rsid w:val="00B117FF"/>
    <w:rsid w:val="00B13CC9"/>
    <w:rsid w:val="00B15502"/>
    <w:rsid w:val="00B16276"/>
    <w:rsid w:val="00B35475"/>
    <w:rsid w:val="00B35975"/>
    <w:rsid w:val="00B36A7F"/>
    <w:rsid w:val="00B40D00"/>
    <w:rsid w:val="00B47A71"/>
    <w:rsid w:val="00B51AFD"/>
    <w:rsid w:val="00B52B12"/>
    <w:rsid w:val="00B53562"/>
    <w:rsid w:val="00B5571E"/>
    <w:rsid w:val="00B572E4"/>
    <w:rsid w:val="00B61227"/>
    <w:rsid w:val="00B61FF1"/>
    <w:rsid w:val="00B63DD0"/>
    <w:rsid w:val="00B66477"/>
    <w:rsid w:val="00B66E6A"/>
    <w:rsid w:val="00B67924"/>
    <w:rsid w:val="00B72E52"/>
    <w:rsid w:val="00B7696F"/>
    <w:rsid w:val="00B80C9F"/>
    <w:rsid w:val="00B81454"/>
    <w:rsid w:val="00B82168"/>
    <w:rsid w:val="00B8246A"/>
    <w:rsid w:val="00B8252D"/>
    <w:rsid w:val="00B84668"/>
    <w:rsid w:val="00B850C8"/>
    <w:rsid w:val="00B85F7E"/>
    <w:rsid w:val="00B87472"/>
    <w:rsid w:val="00B929AC"/>
    <w:rsid w:val="00B966E8"/>
    <w:rsid w:val="00B96E83"/>
    <w:rsid w:val="00BA0680"/>
    <w:rsid w:val="00BA2514"/>
    <w:rsid w:val="00BA26CC"/>
    <w:rsid w:val="00BA3D91"/>
    <w:rsid w:val="00BA447E"/>
    <w:rsid w:val="00BA5BD9"/>
    <w:rsid w:val="00BB32F4"/>
    <w:rsid w:val="00BB4CF6"/>
    <w:rsid w:val="00BB4FBF"/>
    <w:rsid w:val="00BB5B7A"/>
    <w:rsid w:val="00BC4CE8"/>
    <w:rsid w:val="00BC69A9"/>
    <w:rsid w:val="00BC6AFA"/>
    <w:rsid w:val="00BC6EE1"/>
    <w:rsid w:val="00BC75BA"/>
    <w:rsid w:val="00BD0A91"/>
    <w:rsid w:val="00BD3A60"/>
    <w:rsid w:val="00BD58BD"/>
    <w:rsid w:val="00BD5C60"/>
    <w:rsid w:val="00BD6C0D"/>
    <w:rsid w:val="00BE1A3E"/>
    <w:rsid w:val="00BE2AF8"/>
    <w:rsid w:val="00BE51FB"/>
    <w:rsid w:val="00BF6607"/>
    <w:rsid w:val="00C00742"/>
    <w:rsid w:val="00C00CF2"/>
    <w:rsid w:val="00C05A45"/>
    <w:rsid w:val="00C05C9D"/>
    <w:rsid w:val="00C114E1"/>
    <w:rsid w:val="00C13CFE"/>
    <w:rsid w:val="00C165A1"/>
    <w:rsid w:val="00C16992"/>
    <w:rsid w:val="00C16DED"/>
    <w:rsid w:val="00C218AA"/>
    <w:rsid w:val="00C26A5F"/>
    <w:rsid w:val="00C270DE"/>
    <w:rsid w:val="00C31AAB"/>
    <w:rsid w:val="00C3465D"/>
    <w:rsid w:val="00C34EDF"/>
    <w:rsid w:val="00C40E2D"/>
    <w:rsid w:val="00C425AC"/>
    <w:rsid w:val="00C43DED"/>
    <w:rsid w:val="00C43F44"/>
    <w:rsid w:val="00C4423E"/>
    <w:rsid w:val="00C44846"/>
    <w:rsid w:val="00C46039"/>
    <w:rsid w:val="00C467A2"/>
    <w:rsid w:val="00C51AA3"/>
    <w:rsid w:val="00C5477C"/>
    <w:rsid w:val="00C565BB"/>
    <w:rsid w:val="00C5739C"/>
    <w:rsid w:val="00C6469B"/>
    <w:rsid w:val="00C70BE2"/>
    <w:rsid w:val="00C761B4"/>
    <w:rsid w:val="00C76CA3"/>
    <w:rsid w:val="00C777B1"/>
    <w:rsid w:val="00C81713"/>
    <w:rsid w:val="00C84569"/>
    <w:rsid w:val="00C84E61"/>
    <w:rsid w:val="00C92FD6"/>
    <w:rsid w:val="00C933D5"/>
    <w:rsid w:val="00CA29AC"/>
    <w:rsid w:val="00CB3EE1"/>
    <w:rsid w:val="00CB6951"/>
    <w:rsid w:val="00CB7BAE"/>
    <w:rsid w:val="00CC01DE"/>
    <w:rsid w:val="00CC08B2"/>
    <w:rsid w:val="00CC297A"/>
    <w:rsid w:val="00CC2DF9"/>
    <w:rsid w:val="00CC5187"/>
    <w:rsid w:val="00CD0DB1"/>
    <w:rsid w:val="00CD1974"/>
    <w:rsid w:val="00CD2FF1"/>
    <w:rsid w:val="00CD4309"/>
    <w:rsid w:val="00CD6ECD"/>
    <w:rsid w:val="00CD7C43"/>
    <w:rsid w:val="00CE5901"/>
    <w:rsid w:val="00CE595C"/>
    <w:rsid w:val="00CE701D"/>
    <w:rsid w:val="00CF3281"/>
    <w:rsid w:val="00CF6DE6"/>
    <w:rsid w:val="00CF79F7"/>
    <w:rsid w:val="00D00F7E"/>
    <w:rsid w:val="00D01B09"/>
    <w:rsid w:val="00D03BE8"/>
    <w:rsid w:val="00D07330"/>
    <w:rsid w:val="00D10DC5"/>
    <w:rsid w:val="00D11EF9"/>
    <w:rsid w:val="00D1754A"/>
    <w:rsid w:val="00D23069"/>
    <w:rsid w:val="00D304FF"/>
    <w:rsid w:val="00D30880"/>
    <w:rsid w:val="00D30C80"/>
    <w:rsid w:val="00D33A7A"/>
    <w:rsid w:val="00D351A3"/>
    <w:rsid w:val="00D35CFF"/>
    <w:rsid w:val="00D36342"/>
    <w:rsid w:val="00D40549"/>
    <w:rsid w:val="00D4465D"/>
    <w:rsid w:val="00D44B0B"/>
    <w:rsid w:val="00D4631F"/>
    <w:rsid w:val="00D5315B"/>
    <w:rsid w:val="00D53335"/>
    <w:rsid w:val="00D54F69"/>
    <w:rsid w:val="00D560DF"/>
    <w:rsid w:val="00D65464"/>
    <w:rsid w:val="00D67846"/>
    <w:rsid w:val="00D75FF9"/>
    <w:rsid w:val="00D778B4"/>
    <w:rsid w:val="00D84A1E"/>
    <w:rsid w:val="00D8610D"/>
    <w:rsid w:val="00D870CD"/>
    <w:rsid w:val="00D87B40"/>
    <w:rsid w:val="00D91ED8"/>
    <w:rsid w:val="00D9211D"/>
    <w:rsid w:val="00D927F4"/>
    <w:rsid w:val="00D932B6"/>
    <w:rsid w:val="00D944FD"/>
    <w:rsid w:val="00D964F1"/>
    <w:rsid w:val="00DA219E"/>
    <w:rsid w:val="00DA3104"/>
    <w:rsid w:val="00DA46E4"/>
    <w:rsid w:val="00DA5FFA"/>
    <w:rsid w:val="00DB3402"/>
    <w:rsid w:val="00DB3E40"/>
    <w:rsid w:val="00DB4C7D"/>
    <w:rsid w:val="00DC1844"/>
    <w:rsid w:val="00DC53BB"/>
    <w:rsid w:val="00DC5655"/>
    <w:rsid w:val="00DC7394"/>
    <w:rsid w:val="00DC79DD"/>
    <w:rsid w:val="00DD07C8"/>
    <w:rsid w:val="00DD0AC8"/>
    <w:rsid w:val="00DD5576"/>
    <w:rsid w:val="00DD6C7E"/>
    <w:rsid w:val="00DD7A40"/>
    <w:rsid w:val="00DE1298"/>
    <w:rsid w:val="00DE2425"/>
    <w:rsid w:val="00DE3B07"/>
    <w:rsid w:val="00DE4DAD"/>
    <w:rsid w:val="00DE74CE"/>
    <w:rsid w:val="00DE7BA3"/>
    <w:rsid w:val="00DF170A"/>
    <w:rsid w:val="00DF2B98"/>
    <w:rsid w:val="00DF2DDB"/>
    <w:rsid w:val="00DF331B"/>
    <w:rsid w:val="00DF36D0"/>
    <w:rsid w:val="00DF3C61"/>
    <w:rsid w:val="00DF4D15"/>
    <w:rsid w:val="00DF5477"/>
    <w:rsid w:val="00DF608F"/>
    <w:rsid w:val="00DF6300"/>
    <w:rsid w:val="00E0064F"/>
    <w:rsid w:val="00E008FD"/>
    <w:rsid w:val="00E00DCD"/>
    <w:rsid w:val="00E01A97"/>
    <w:rsid w:val="00E02D7C"/>
    <w:rsid w:val="00E04678"/>
    <w:rsid w:val="00E06634"/>
    <w:rsid w:val="00E07275"/>
    <w:rsid w:val="00E07F39"/>
    <w:rsid w:val="00E144A4"/>
    <w:rsid w:val="00E15BBD"/>
    <w:rsid w:val="00E20F69"/>
    <w:rsid w:val="00E210B3"/>
    <w:rsid w:val="00E25462"/>
    <w:rsid w:val="00E3033F"/>
    <w:rsid w:val="00E30713"/>
    <w:rsid w:val="00E32207"/>
    <w:rsid w:val="00E3605B"/>
    <w:rsid w:val="00E406A8"/>
    <w:rsid w:val="00E41250"/>
    <w:rsid w:val="00E42DB5"/>
    <w:rsid w:val="00E43B1D"/>
    <w:rsid w:val="00E46913"/>
    <w:rsid w:val="00E47795"/>
    <w:rsid w:val="00E47E0B"/>
    <w:rsid w:val="00E54CEB"/>
    <w:rsid w:val="00E656D9"/>
    <w:rsid w:val="00E67131"/>
    <w:rsid w:val="00E73B30"/>
    <w:rsid w:val="00E74957"/>
    <w:rsid w:val="00E753B2"/>
    <w:rsid w:val="00E75AC7"/>
    <w:rsid w:val="00E80239"/>
    <w:rsid w:val="00E81C2D"/>
    <w:rsid w:val="00E8370F"/>
    <w:rsid w:val="00E859DC"/>
    <w:rsid w:val="00E863D2"/>
    <w:rsid w:val="00E8782A"/>
    <w:rsid w:val="00E90563"/>
    <w:rsid w:val="00E90929"/>
    <w:rsid w:val="00E94848"/>
    <w:rsid w:val="00E95247"/>
    <w:rsid w:val="00E9611D"/>
    <w:rsid w:val="00E96AAE"/>
    <w:rsid w:val="00EA4B0A"/>
    <w:rsid w:val="00EA4E0A"/>
    <w:rsid w:val="00EB2F3D"/>
    <w:rsid w:val="00EB3B5A"/>
    <w:rsid w:val="00EB5A50"/>
    <w:rsid w:val="00EC047A"/>
    <w:rsid w:val="00EC052C"/>
    <w:rsid w:val="00EC1B80"/>
    <w:rsid w:val="00EC3910"/>
    <w:rsid w:val="00EC5650"/>
    <w:rsid w:val="00EC6F37"/>
    <w:rsid w:val="00ED0AD7"/>
    <w:rsid w:val="00ED2202"/>
    <w:rsid w:val="00ED3060"/>
    <w:rsid w:val="00ED4019"/>
    <w:rsid w:val="00ED5CFD"/>
    <w:rsid w:val="00ED6159"/>
    <w:rsid w:val="00ED730D"/>
    <w:rsid w:val="00EE1FC0"/>
    <w:rsid w:val="00EE3D43"/>
    <w:rsid w:val="00EF0EDB"/>
    <w:rsid w:val="00EF0F06"/>
    <w:rsid w:val="00EF38F8"/>
    <w:rsid w:val="00EF58F4"/>
    <w:rsid w:val="00F05667"/>
    <w:rsid w:val="00F05C2D"/>
    <w:rsid w:val="00F076E1"/>
    <w:rsid w:val="00F1221B"/>
    <w:rsid w:val="00F12D7D"/>
    <w:rsid w:val="00F1354F"/>
    <w:rsid w:val="00F153BE"/>
    <w:rsid w:val="00F16BEB"/>
    <w:rsid w:val="00F2400E"/>
    <w:rsid w:val="00F26A11"/>
    <w:rsid w:val="00F31274"/>
    <w:rsid w:val="00F319D0"/>
    <w:rsid w:val="00F32453"/>
    <w:rsid w:val="00F32FA9"/>
    <w:rsid w:val="00F372D8"/>
    <w:rsid w:val="00F40AFC"/>
    <w:rsid w:val="00F417F3"/>
    <w:rsid w:val="00F41E28"/>
    <w:rsid w:val="00F442DC"/>
    <w:rsid w:val="00F447EA"/>
    <w:rsid w:val="00F464A4"/>
    <w:rsid w:val="00F470CA"/>
    <w:rsid w:val="00F4777F"/>
    <w:rsid w:val="00F54E00"/>
    <w:rsid w:val="00F56812"/>
    <w:rsid w:val="00F609E0"/>
    <w:rsid w:val="00F6117F"/>
    <w:rsid w:val="00F62B57"/>
    <w:rsid w:val="00F6442B"/>
    <w:rsid w:val="00F67E1D"/>
    <w:rsid w:val="00F72E3D"/>
    <w:rsid w:val="00F73FF6"/>
    <w:rsid w:val="00F74F70"/>
    <w:rsid w:val="00F76419"/>
    <w:rsid w:val="00F76539"/>
    <w:rsid w:val="00F80364"/>
    <w:rsid w:val="00F8192B"/>
    <w:rsid w:val="00F83FAE"/>
    <w:rsid w:val="00F84001"/>
    <w:rsid w:val="00F8437B"/>
    <w:rsid w:val="00F8504C"/>
    <w:rsid w:val="00F87EFC"/>
    <w:rsid w:val="00F936BB"/>
    <w:rsid w:val="00F93CF6"/>
    <w:rsid w:val="00F94EBA"/>
    <w:rsid w:val="00F97797"/>
    <w:rsid w:val="00FA29D9"/>
    <w:rsid w:val="00FA2EBA"/>
    <w:rsid w:val="00FA3896"/>
    <w:rsid w:val="00FA5821"/>
    <w:rsid w:val="00FB66D0"/>
    <w:rsid w:val="00FB6E0C"/>
    <w:rsid w:val="00FC33D2"/>
    <w:rsid w:val="00FC415C"/>
    <w:rsid w:val="00FC5A16"/>
    <w:rsid w:val="00FC7EDB"/>
    <w:rsid w:val="00FD0B59"/>
    <w:rsid w:val="00FD2D44"/>
    <w:rsid w:val="00FD2E5F"/>
    <w:rsid w:val="00FD5AA4"/>
    <w:rsid w:val="00FD7E68"/>
    <w:rsid w:val="00FD7FBE"/>
    <w:rsid w:val="00FE0F95"/>
    <w:rsid w:val="00FE1651"/>
    <w:rsid w:val="00FE78BE"/>
    <w:rsid w:val="00FF3B67"/>
    <w:rsid w:val="00FF5A80"/>
    <w:rsid w:val="00FF7B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2E6DC"/>
  <w15:chartTrackingRefBased/>
  <w15:docId w15:val="{3D1A5F57-52A2-4B39-91BB-A99CD31B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2D8"/>
    <w:rPr>
      <w:color w:val="0000FF"/>
      <w:u w:val="single"/>
    </w:rPr>
  </w:style>
  <w:style w:type="paragraph" w:styleId="ListParagraph">
    <w:name w:val="List Paragraph"/>
    <w:basedOn w:val="Normal"/>
    <w:uiPriority w:val="34"/>
    <w:qFormat/>
    <w:rsid w:val="00077BA0"/>
    <w:pPr>
      <w:ind w:left="720"/>
      <w:contextualSpacing/>
    </w:pPr>
  </w:style>
  <w:style w:type="paragraph" w:styleId="EndnoteText">
    <w:name w:val="endnote text"/>
    <w:basedOn w:val="Normal"/>
    <w:link w:val="EndnoteTextChar"/>
    <w:uiPriority w:val="99"/>
    <w:unhideWhenUsed/>
    <w:rsid w:val="00372AB0"/>
    <w:pPr>
      <w:spacing w:after="0" w:line="240" w:lineRule="auto"/>
    </w:pPr>
    <w:rPr>
      <w:sz w:val="20"/>
      <w:szCs w:val="20"/>
    </w:rPr>
  </w:style>
  <w:style w:type="character" w:customStyle="1" w:styleId="EndnoteTextChar">
    <w:name w:val="Endnote Text Char"/>
    <w:basedOn w:val="DefaultParagraphFont"/>
    <w:link w:val="EndnoteText"/>
    <w:uiPriority w:val="99"/>
    <w:rsid w:val="00372AB0"/>
    <w:rPr>
      <w:sz w:val="20"/>
      <w:szCs w:val="20"/>
    </w:rPr>
  </w:style>
  <w:style w:type="character" w:styleId="EndnoteReference">
    <w:name w:val="endnote reference"/>
    <w:basedOn w:val="DefaultParagraphFont"/>
    <w:uiPriority w:val="99"/>
    <w:semiHidden/>
    <w:unhideWhenUsed/>
    <w:rsid w:val="00372AB0"/>
    <w:rPr>
      <w:vertAlign w:val="superscript"/>
    </w:rPr>
  </w:style>
  <w:style w:type="paragraph" w:customStyle="1" w:styleId="Default">
    <w:name w:val="Default"/>
    <w:rsid w:val="004C23FC"/>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styleId="Emphasis">
    <w:name w:val="Emphasis"/>
    <w:basedOn w:val="DefaultParagraphFont"/>
    <w:uiPriority w:val="20"/>
    <w:qFormat/>
    <w:rsid w:val="004C23FC"/>
    <w:rPr>
      <w:i/>
      <w:iCs/>
    </w:rPr>
  </w:style>
  <w:style w:type="paragraph" w:customStyle="1" w:styleId="sample-citation-mla">
    <w:name w:val="sample-citation-mla"/>
    <w:basedOn w:val="Normal"/>
    <w:rsid w:val="004C23F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4F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54B"/>
  </w:style>
  <w:style w:type="paragraph" w:styleId="Footer">
    <w:name w:val="footer"/>
    <w:basedOn w:val="Normal"/>
    <w:link w:val="FooterChar"/>
    <w:uiPriority w:val="99"/>
    <w:unhideWhenUsed/>
    <w:rsid w:val="004F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54B"/>
  </w:style>
  <w:style w:type="paragraph" w:styleId="NormalWeb">
    <w:name w:val="Normal (Web)"/>
    <w:basedOn w:val="Normal"/>
    <w:uiPriority w:val="99"/>
    <w:unhideWhenUsed/>
    <w:rsid w:val="00100BB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45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795"/>
    <w:rPr>
      <w:sz w:val="20"/>
      <w:szCs w:val="20"/>
    </w:rPr>
  </w:style>
  <w:style w:type="character" w:styleId="FootnoteReference">
    <w:name w:val="footnote reference"/>
    <w:basedOn w:val="DefaultParagraphFont"/>
    <w:uiPriority w:val="99"/>
    <w:semiHidden/>
    <w:unhideWhenUsed/>
    <w:rsid w:val="00A45795"/>
    <w:rPr>
      <w:vertAlign w:val="superscript"/>
    </w:rPr>
  </w:style>
  <w:style w:type="character" w:styleId="PlaceholderText">
    <w:name w:val="Placeholder Text"/>
    <w:basedOn w:val="DefaultParagraphFont"/>
    <w:uiPriority w:val="99"/>
    <w:semiHidden/>
    <w:rsid w:val="00F464A4"/>
    <w:rPr>
      <w:color w:val="808080"/>
    </w:rPr>
  </w:style>
  <w:style w:type="paragraph" w:styleId="BalloonText">
    <w:name w:val="Balloon Text"/>
    <w:basedOn w:val="Normal"/>
    <w:link w:val="BalloonTextChar"/>
    <w:uiPriority w:val="99"/>
    <w:semiHidden/>
    <w:unhideWhenUsed/>
    <w:rsid w:val="001C5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3BA"/>
    <w:rPr>
      <w:rFonts w:ascii="Segoe UI" w:hAnsi="Segoe UI" w:cs="Segoe UI"/>
      <w:sz w:val="18"/>
      <w:szCs w:val="18"/>
    </w:rPr>
  </w:style>
  <w:style w:type="character" w:styleId="CommentReference">
    <w:name w:val="annotation reference"/>
    <w:basedOn w:val="DefaultParagraphFont"/>
    <w:uiPriority w:val="99"/>
    <w:semiHidden/>
    <w:unhideWhenUsed/>
    <w:rsid w:val="00BC69A9"/>
    <w:rPr>
      <w:sz w:val="16"/>
      <w:szCs w:val="16"/>
    </w:rPr>
  </w:style>
  <w:style w:type="paragraph" w:styleId="CommentText">
    <w:name w:val="annotation text"/>
    <w:basedOn w:val="Normal"/>
    <w:link w:val="CommentTextChar"/>
    <w:uiPriority w:val="99"/>
    <w:semiHidden/>
    <w:unhideWhenUsed/>
    <w:rsid w:val="00BC69A9"/>
    <w:pPr>
      <w:spacing w:line="240" w:lineRule="auto"/>
    </w:pPr>
    <w:rPr>
      <w:sz w:val="20"/>
      <w:szCs w:val="20"/>
    </w:rPr>
  </w:style>
  <w:style w:type="character" w:customStyle="1" w:styleId="CommentTextChar">
    <w:name w:val="Comment Text Char"/>
    <w:basedOn w:val="DefaultParagraphFont"/>
    <w:link w:val="CommentText"/>
    <w:uiPriority w:val="99"/>
    <w:semiHidden/>
    <w:rsid w:val="00BC69A9"/>
    <w:rPr>
      <w:sz w:val="20"/>
      <w:szCs w:val="20"/>
    </w:rPr>
  </w:style>
  <w:style w:type="paragraph" w:styleId="CommentSubject">
    <w:name w:val="annotation subject"/>
    <w:basedOn w:val="CommentText"/>
    <w:next w:val="CommentText"/>
    <w:link w:val="CommentSubjectChar"/>
    <w:uiPriority w:val="99"/>
    <w:semiHidden/>
    <w:unhideWhenUsed/>
    <w:rsid w:val="00BC69A9"/>
    <w:rPr>
      <w:b/>
      <w:bCs/>
    </w:rPr>
  </w:style>
  <w:style w:type="character" w:customStyle="1" w:styleId="CommentSubjectChar">
    <w:name w:val="Comment Subject Char"/>
    <w:basedOn w:val="CommentTextChar"/>
    <w:link w:val="CommentSubject"/>
    <w:uiPriority w:val="99"/>
    <w:semiHidden/>
    <w:rsid w:val="00BC6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3321">
      <w:bodyDiv w:val="1"/>
      <w:marLeft w:val="0"/>
      <w:marRight w:val="0"/>
      <w:marTop w:val="0"/>
      <w:marBottom w:val="0"/>
      <w:divBdr>
        <w:top w:val="none" w:sz="0" w:space="0" w:color="auto"/>
        <w:left w:val="none" w:sz="0" w:space="0" w:color="auto"/>
        <w:bottom w:val="none" w:sz="0" w:space="0" w:color="auto"/>
        <w:right w:val="none" w:sz="0" w:space="0" w:color="auto"/>
      </w:divBdr>
    </w:div>
    <w:div w:id="133839068">
      <w:bodyDiv w:val="1"/>
      <w:marLeft w:val="0"/>
      <w:marRight w:val="0"/>
      <w:marTop w:val="0"/>
      <w:marBottom w:val="0"/>
      <w:divBdr>
        <w:top w:val="none" w:sz="0" w:space="0" w:color="auto"/>
        <w:left w:val="none" w:sz="0" w:space="0" w:color="auto"/>
        <w:bottom w:val="none" w:sz="0" w:space="0" w:color="auto"/>
        <w:right w:val="none" w:sz="0" w:space="0" w:color="auto"/>
      </w:divBdr>
    </w:div>
    <w:div w:id="333731755">
      <w:bodyDiv w:val="1"/>
      <w:marLeft w:val="0"/>
      <w:marRight w:val="0"/>
      <w:marTop w:val="0"/>
      <w:marBottom w:val="0"/>
      <w:divBdr>
        <w:top w:val="none" w:sz="0" w:space="0" w:color="auto"/>
        <w:left w:val="none" w:sz="0" w:space="0" w:color="auto"/>
        <w:bottom w:val="none" w:sz="0" w:space="0" w:color="auto"/>
        <w:right w:val="none" w:sz="0" w:space="0" w:color="auto"/>
      </w:divBdr>
    </w:div>
    <w:div w:id="367537299">
      <w:bodyDiv w:val="1"/>
      <w:marLeft w:val="0"/>
      <w:marRight w:val="0"/>
      <w:marTop w:val="0"/>
      <w:marBottom w:val="0"/>
      <w:divBdr>
        <w:top w:val="none" w:sz="0" w:space="0" w:color="auto"/>
        <w:left w:val="none" w:sz="0" w:space="0" w:color="auto"/>
        <w:bottom w:val="none" w:sz="0" w:space="0" w:color="auto"/>
        <w:right w:val="none" w:sz="0" w:space="0" w:color="auto"/>
      </w:divBdr>
    </w:div>
    <w:div w:id="651254645">
      <w:bodyDiv w:val="1"/>
      <w:marLeft w:val="0"/>
      <w:marRight w:val="0"/>
      <w:marTop w:val="0"/>
      <w:marBottom w:val="0"/>
      <w:divBdr>
        <w:top w:val="none" w:sz="0" w:space="0" w:color="auto"/>
        <w:left w:val="none" w:sz="0" w:space="0" w:color="auto"/>
        <w:bottom w:val="none" w:sz="0" w:space="0" w:color="auto"/>
        <w:right w:val="none" w:sz="0" w:space="0" w:color="auto"/>
      </w:divBdr>
    </w:div>
    <w:div w:id="149220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mailto:dturkington@statestreet.com" TargetMode="External"/><Relationship Id="rId17" Type="http://schemas.openxmlformats.org/officeDocument/2006/relationships/header" Target="header3.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tzman@mit.edu" TargetMode="External"/><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8C8A3C1CC93448400E1A3C361C032" ma:contentTypeVersion="4" ma:contentTypeDescription="Create a new document." ma:contentTypeScope="" ma:versionID="f48a70eb57750b866842a31a8a235621">
  <xsd:schema xmlns:xsd="http://www.w3.org/2001/XMLSchema" xmlns:xs="http://www.w3.org/2001/XMLSchema" xmlns:p="http://schemas.microsoft.com/office/2006/metadata/properties" xmlns:ns3="97224255-bfaf-4a55-896f-d56e979e643e" targetNamespace="http://schemas.microsoft.com/office/2006/metadata/properties" ma:root="true" ma:fieldsID="848addf32913f1f0d976353356011627" ns3:_="">
    <xsd:import namespace="97224255-bfaf-4a55-896f-d56e979e64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24255-bfaf-4a55-896f-d56e979e6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88AD-C104-4626-8886-0C3AE62D8AA9}">
  <ds:schemaRefs>
    <ds:schemaRef ds:uri="http://schemas.microsoft.com/sharepoint/v3/contenttype/forms"/>
  </ds:schemaRefs>
</ds:datastoreItem>
</file>

<file path=customXml/itemProps2.xml><?xml version="1.0" encoding="utf-8"?>
<ds:datastoreItem xmlns:ds="http://schemas.openxmlformats.org/officeDocument/2006/customXml" ds:itemID="{5CB56946-80DF-46B7-83B9-7076265C6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8F4A0-2283-4256-AB37-D03906C67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24255-bfaf-4a55-896f-d56e979e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21E28-862B-4B21-AD61-9871475D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4906</Words>
  <Characters>27967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Kritzman</dc:creator>
  <cp:keywords>General</cp:keywords>
  <dc:description/>
  <cp:lastModifiedBy>Brigitte DeVeau</cp:lastModifiedBy>
  <cp:revision>2</cp:revision>
  <cp:lastPrinted>2021-02-07T19:41:00Z</cp:lastPrinted>
  <dcterms:created xsi:type="dcterms:W3CDTF">2022-05-05T19:30:00Z</dcterms:created>
  <dcterms:modified xsi:type="dcterms:W3CDTF">2022-05-05T19:30:00Z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ff2d8536-297a-4562-b585-7433df7c6265</vt:lpwstr>
  </property>
  <property fmtid="{D5CDD505-2E9C-101B-9397-08002B2CF9AE}" pid="3" name="_NewReviewCycle">
    <vt:lpwstr/>
  </property>
  <property fmtid="{D5CDD505-2E9C-101B-9397-08002B2CF9AE}" pid="4" name="_AdHocReviewCycleID">
    <vt:i4>-715714748</vt:i4>
  </property>
  <property fmtid="{D5CDD505-2E9C-101B-9397-08002B2CF9AE}" pid="5" name="_EmailSubject">
    <vt:lpwstr>Event time - Updated draft</vt:lpwstr>
  </property>
  <property fmtid="{D5CDD505-2E9C-101B-9397-08002B2CF9AE}" pid="6" name="_AuthorEmail">
    <vt:lpwstr>MCzasonis@StateStreet.com</vt:lpwstr>
  </property>
  <property fmtid="{D5CDD505-2E9C-101B-9397-08002B2CF9AE}" pid="7" name="_AuthorEmailDisplayName">
    <vt:lpwstr>Czasonis, Megan</vt:lpwstr>
  </property>
  <property fmtid="{D5CDD505-2E9C-101B-9397-08002B2CF9AE}" pid="8" name="SSCClassification">
    <vt:lpwstr>G</vt:lpwstr>
  </property>
  <property fmtid="{D5CDD505-2E9C-101B-9397-08002B2CF9AE}" pid="9" name="SSCVisualMarks">
    <vt:lpwstr>N</vt:lpwstr>
  </property>
  <property fmtid="{D5CDD505-2E9C-101B-9397-08002B2CF9AE}" pid="10" name="_PreviousAdHocReviewCycleID">
    <vt:i4>-904425209</vt:i4>
  </property>
  <property fmtid="{D5CDD505-2E9C-101B-9397-08002B2CF9AE}" pid="11" name="ContentTypeId">
    <vt:lpwstr>0x01010085D8C8A3C1CC93448400E1A3C361C032</vt:lpwstr>
  </property>
</Properties>
</file>